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F10" w:rsidRPr="00E7147A" w:rsidRDefault="002B63D0">
      <w:pPr>
        <w:rPr>
          <w:b/>
          <w:sz w:val="28"/>
        </w:rPr>
      </w:pPr>
      <w:r w:rsidRPr="00E7147A">
        <w:rPr>
          <w:b/>
          <w:sz w:val="28"/>
        </w:rPr>
        <w:t>EXPLANATORY NOTES</w:t>
      </w:r>
    </w:p>
    <w:tbl>
      <w:tblPr>
        <w:tblStyle w:val="TableGrid"/>
        <w:tblW w:w="10170" w:type="dxa"/>
        <w:tblInd w:w="-275" w:type="dxa"/>
        <w:tblLook w:val="04A0" w:firstRow="1" w:lastRow="0" w:firstColumn="1" w:lastColumn="0" w:noHBand="0" w:noVBand="1"/>
      </w:tblPr>
      <w:tblGrid>
        <w:gridCol w:w="720"/>
        <w:gridCol w:w="2250"/>
        <w:gridCol w:w="7200"/>
      </w:tblGrid>
      <w:tr w:rsidR="002B63D0" w:rsidRPr="002B63D0" w:rsidTr="00C8379A">
        <w:tc>
          <w:tcPr>
            <w:tcW w:w="720" w:type="dxa"/>
          </w:tcPr>
          <w:p w:rsidR="002B63D0" w:rsidRPr="002B63D0" w:rsidRDefault="002B63D0">
            <w:pPr>
              <w:rPr>
                <w:b/>
              </w:rPr>
            </w:pPr>
          </w:p>
        </w:tc>
        <w:tc>
          <w:tcPr>
            <w:tcW w:w="2250" w:type="dxa"/>
          </w:tcPr>
          <w:p w:rsidR="002B63D0" w:rsidRPr="002B63D0" w:rsidRDefault="002B63D0">
            <w:pPr>
              <w:rPr>
                <w:b/>
              </w:rPr>
            </w:pPr>
            <w:r w:rsidRPr="002B63D0">
              <w:rPr>
                <w:b/>
              </w:rPr>
              <w:t>ITEM</w:t>
            </w:r>
          </w:p>
        </w:tc>
        <w:tc>
          <w:tcPr>
            <w:tcW w:w="7200" w:type="dxa"/>
          </w:tcPr>
          <w:p w:rsidR="002B63D0" w:rsidRPr="002B63D0" w:rsidRDefault="002B63D0">
            <w:pPr>
              <w:rPr>
                <w:b/>
              </w:rPr>
            </w:pPr>
            <w:r w:rsidRPr="002B63D0">
              <w:rPr>
                <w:b/>
              </w:rPr>
              <w:t>Explanatory Note</w:t>
            </w:r>
            <w:r w:rsidR="001928B8">
              <w:rPr>
                <w:b/>
              </w:rPr>
              <w:t xml:space="preserve"> (EN)</w:t>
            </w:r>
          </w:p>
        </w:tc>
      </w:tr>
      <w:tr w:rsidR="009F5A3B" w:rsidRPr="002B63D0" w:rsidTr="00C8379A">
        <w:tc>
          <w:tcPr>
            <w:tcW w:w="720" w:type="dxa"/>
          </w:tcPr>
          <w:p w:rsidR="009F5A3B" w:rsidRPr="002B63D0" w:rsidRDefault="009F5A3B">
            <w:pPr>
              <w:rPr>
                <w:b/>
              </w:rPr>
            </w:pPr>
          </w:p>
        </w:tc>
        <w:tc>
          <w:tcPr>
            <w:tcW w:w="2250" w:type="dxa"/>
          </w:tcPr>
          <w:p w:rsidR="009F5A3B" w:rsidRPr="002B63D0" w:rsidRDefault="009F5A3B">
            <w:pPr>
              <w:rPr>
                <w:b/>
              </w:rPr>
            </w:pPr>
            <w:proofErr w:type="spellStart"/>
            <w:r>
              <w:rPr>
                <w:b/>
              </w:rPr>
              <w:t>Asumptions</w:t>
            </w:r>
            <w:proofErr w:type="spellEnd"/>
            <w:r w:rsidR="001928B8">
              <w:rPr>
                <w:b/>
              </w:rPr>
              <w:t>:</w:t>
            </w:r>
          </w:p>
        </w:tc>
        <w:tc>
          <w:tcPr>
            <w:tcW w:w="7200" w:type="dxa"/>
          </w:tcPr>
          <w:p w:rsidR="009F5A3B" w:rsidRPr="002B63D0" w:rsidRDefault="009F5A3B">
            <w:pPr>
              <w:rPr>
                <w:b/>
              </w:rPr>
            </w:pPr>
          </w:p>
        </w:tc>
      </w:tr>
      <w:tr w:rsidR="002B63D0" w:rsidTr="00C8379A">
        <w:tc>
          <w:tcPr>
            <w:tcW w:w="720" w:type="dxa"/>
          </w:tcPr>
          <w:p w:rsidR="002B63D0" w:rsidRDefault="002F0C73">
            <w:r>
              <w:t>1.1A</w:t>
            </w:r>
          </w:p>
        </w:tc>
        <w:tc>
          <w:tcPr>
            <w:tcW w:w="2250" w:type="dxa"/>
          </w:tcPr>
          <w:p w:rsidR="002B63D0" w:rsidRDefault="00322D28">
            <w:r>
              <w:t>Oil price (USD/bb)</w:t>
            </w:r>
          </w:p>
        </w:tc>
        <w:tc>
          <w:tcPr>
            <w:tcW w:w="7200" w:type="dxa"/>
          </w:tcPr>
          <w:p w:rsidR="002B63D0" w:rsidRDefault="00322D28" w:rsidP="00D83115">
            <w:pPr>
              <w:jc w:val="both"/>
            </w:pPr>
            <w:r>
              <w:t xml:space="preserve">In the original budget, oil price per barrel was set at USD56.50 while in the revised budget, it is </w:t>
            </w:r>
            <w:r w:rsidR="003F783A">
              <w:t xml:space="preserve">now </w:t>
            </w:r>
            <w:r>
              <w:t>proposed at USD20.  This is in-line with the Nigerian Governors’ Forum (NGF) and as advised</w:t>
            </w:r>
            <w:r w:rsidR="00A16BFC">
              <w:t xml:space="preserve"> by SFTAS AF DLI</w:t>
            </w:r>
            <w:r>
              <w:t>.</w:t>
            </w:r>
          </w:p>
        </w:tc>
      </w:tr>
      <w:tr w:rsidR="00322D28" w:rsidTr="00C8379A">
        <w:tc>
          <w:tcPr>
            <w:tcW w:w="720" w:type="dxa"/>
          </w:tcPr>
          <w:p w:rsidR="00322D28" w:rsidRDefault="002F0C73">
            <w:r>
              <w:t>1.1B</w:t>
            </w:r>
          </w:p>
        </w:tc>
        <w:tc>
          <w:tcPr>
            <w:tcW w:w="2250" w:type="dxa"/>
          </w:tcPr>
          <w:p w:rsidR="00322D28" w:rsidRDefault="00322D28">
            <w:r>
              <w:t>Oil production per day (</w:t>
            </w:r>
            <w:proofErr w:type="spellStart"/>
            <w:r>
              <w:t>mbpd</w:t>
            </w:r>
            <w:proofErr w:type="spellEnd"/>
            <w:r>
              <w:t>)</w:t>
            </w:r>
          </w:p>
        </w:tc>
        <w:tc>
          <w:tcPr>
            <w:tcW w:w="7200" w:type="dxa"/>
          </w:tcPr>
          <w:p w:rsidR="00322D28" w:rsidRDefault="00322D28" w:rsidP="00D83115">
            <w:pPr>
              <w:jc w:val="both"/>
            </w:pPr>
            <w:r>
              <w:t>The original budget projected it at 2.3</w:t>
            </w:r>
            <w:r w:rsidR="00A57B40">
              <w:t>mbpd while the proposed revised budget projected it at 1.7mbpd. This is also in</w:t>
            </w:r>
            <w:bookmarkStart w:id="0" w:name="_GoBack"/>
            <w:bookmarkEnd w:id="0"/>
            <w:r w:rsidR="00A57B40">
              <w:t>-line with NGF projection</w:t>
            </w:r>
            <w:r w:rsidR="003F783A">
              <w:t>s</w:t>
            </w:r>
            <w:r w:rsidR="00A57B40">
              <w:t xml:space="preserve"> and advice</w:t>
            </w:r>
            <w:r w:rsidR="001A7C45">
              <w:t xml:space="preserve"> by SFTAS AF DLI</w:t>
            </w:r>
            <w:proofErr w:type="gramStart"/>
            <w:r w:rsidR="001A7C45">
              <w:t>.</w:t>
            </w:r>
            <w:r w:rsidR="00A57B40">
              <w:t>.</w:t>
            </w:r>
            <w:proofErr w:type="gramEnd"/>
          </w:p>
        </w:tc>
      </w:tr>
      <w:tr w:rsidR="00A57B40" w:rsidTr="00C8379A">
        <w:tc>
          <w:tcPr>
            <w:tcW w:w="720" w:type="dxa"/>
          </w:tcPr>
          <w:p w:rsidR="00A57B40" w:rsidRDefault="002F0C73">
            <w:r>
              <w:t>1.1C</w:t>
            </w:r>
          </w:p>
        </w:tc>
        <w:tc>
          <w:tcPr>
            <w:tcW w:w="2250" w:type="dxa"/>
          </w:tcPr>
          <w:p w:rsidR="00A57B40" w:rsidRDefault="00A57B40">
            <w:r>
              <w:t>Exchange rate USD/#360</w:t>
            </w:r>
          </w:p>
        </w:tc>
        <w:tc>
          <w:tcPr>
            <w:tcW w:w="7200" w:type="dxa"/>
          </w:tcPr>
          <w:p w:rsidR="00A57B40" w:rsidRDefault="00A57B40" w:rsidP="00D83115">
            <w:pPr>
              <w:jc w:val="both"/>
            </w:pPr>
            <w:r>
              <w:t>The original budget has USD/305 while the proposed revised budget is pegged at USD/360 in-line with the Federal Government of Nigeria as presented in the National budget</w:t>
            </w:r>
            <w:r w:rsidR="001A7C45">
              <w:t xml:space="preserve"> and by SFTAS AF DLI</w:t>
            </w:r>
            <w:proofErr w:type="gramStart"/>
            <w:r w:rsidR="001A7C45">
              <w:t>.</w:t>
            </w:r>
            <w:r>
              <w:t>.</w:t>
            </w:r>
            <w:proofErr w:type="gramEnd"/>
          </w:p>
        </w:tc>
      </w:tr>
      <w:tr w:rsidR="00A57B40" w:rsidTr="00C8379A">
        <w:tc>
          <w:tcPr>
            <w:tcW w:w="720" w:type="dxa"/>
          </w:tcPr>
          <w:p w:rsidR="00A57B40" w:rsidRDefault="002F0C73">
            <w:r>
              <w:t>1.1D</w:t>
            </w:r>
          </w:p>
        </w:tc>
        <w:tc>
          <w:tcPr>
            <w:tcW w:w="2250" w:type="dxa"/>
          </w:tcPr>
          <w:p w:rsidR="00A57B40" w:rsidRDefault="00A16BFC">
            <w:r>
              <w:t>The National annual GDP growth rate</w:t>
            </w:r>
          </w:p>
        </w:tc>
        <w:tc>
          <w:tcPr>
            <w:tcW w:w="7200" w:type="dxa"/>
          </w:tcPr>
          <w:p w:rsidR="00A57B40" w:rsidRDefault="00A16BFC" w:rsidP="00D83115">
            <w:pPr>
              <w:jc w:val="both"/>
            </w:pPr>
            <w:r>
              <w:t>The national annual GDP growth rate of 3.60% is now presented at -4.42% in-line with the national projection</w:t>
            </w:r>
            <w:r w:rsidR="003F783A">
              <w:t>s.</w:t>
            </w:r>
            <w:r>
              <w:t xml:space="preserve"> </w:t>
            </w:r>
          </w:p>
        </w:tc>
      </w:tr>
      <w:tr w:rsidR="00A16BFC" w:rsidTr="00C8379A">
        <w:tc>
          <w:tcPr>
            <w:tcW w:w="720" w:type="dxa"/>
          </w:tcPr>
          <w:p w:rsidR="00A16BFC" w:rsidRDefault="002F0C73">
            <w:r>
              <w:t>1.1E</w:t>
            </w:r>
          </w:p>
        </w:tc>
        <w:tc>
          <w:tcPr>
            <w:tcW w:w="2250" w:type="dxa"/>
          </w:tcPr>
          <w:p w:rsidR="00A16BFC" w:rsidRDefault="00A16BFC">
            <w:r>
              <w:t>Average Annual Inflation Rate</w:t>
            </w:r>
          </w:p>
        </w:tc>
        <w:tc>
          <w:tcPr>
            <w:tcW w:w="7200" w:type="dxa"/>
          </w:tcPr>
          <w:p w:rsidR="00A16BFC" w:rsidRDefault="00A16BFC" w:rsidP="00D83115">
            <w:pPr>
              <w:jc w:val="both"/>
            </w:pPr>
            <w:r>
              <w:t>The average inflation rate is also altered from 10.81% to 14.13% as presented in the reference document</w:t>
            </w:r>
            <w:r w:rsidR="002F55C2">
              <w:t>s.</w:t>
            </w:r>
          </w:p>
        </w:tc>
      </w:tr>
      <w:tr w:rsidR="001A7C45" w:rsidTr="00C8379A">
        <w:tc>
          <w:tcPr>
            <w:tcW w:w="720" w:type="dxa"/>
          </w:tcPr>
          <w:p w:rsidR="001A7C45" w:rsidRPr="009F5A3B" w:rsidRDefault="001A7C45">
            <w:pPr>
              <w:rPr>
                <w:b/>
              </w:rPr>
            </w:pPr>
            <w:r w:rsidRPr="009F5A3B">
              <w:rPr>
                <w:b/>
              </w:rPr>
              <w:t>1.2</w:t>
            </w:r>
          </w:p>
        </w:tc>
        <w:tc>
          <w:tcPr>
            <w:tcW w:w="2250" w:type="dxa"/>
          </w:tcPr>
          <w:p w:rsidR="001A7C45" w:rsidRPr="009F5A3B" w:rsidRDefault="001A7C45">
            <w:pPr>
              <w:rPr>
                <w:b/>
              </w:rPr>
            </w:pPr>
            <w:r w:rsidRPr="009F5A3B">
              <w:rPr>
                <w:b/>
              </w:rPr>
              <w:t>Opening Balance</w:t>
            </w:r>
          </w:p>
        </w:tc>
        <w:tc>
          <w:tcPr>
            <w:tcW w:w="7200" w:type="dxa"/>
          </w:tcPr>
          <w:p w:rsidR="001A7C45" w:rsidRDefault="001A7C45" w:rsidP="00D83115">
            <w:pPr>
              <w:jc w:val="both"/>
            </w:pPr>
            <w:r>
              <w:t>The opening balance of N3</w:t>
            </w:r>
            <w:proofErr w:type="gramStart"/>
            <w:r>
              <w:t>,005,762.43</w:t>
            </w:r>
            <w:proofErr w:type="gramEnd"/>
            <w:r>
              <w:t xml:space="preserve"> presented in the revised budget is an extract from the Auditor General’s office as at 31</w:t>
            </w:r>
            <w:r w:rsidRPr="001A7C45">
              <w:rPr>
                <w:vertAlign w:val="superscript"/>
              </w:rPr>
              <w:t>st</w:t>
            </w:r>
            <w:r>
              <w:t xml:space="preserve"> December, 2019. This was not presented in the original budget probably because work was not completed as at the making of the 2020 budget.</w:t>
            </w:r>
          </w:p>
        </w:tc>
      </w:tr>
      <w:tr w:rsidR="001A7C45" w:rsidTr="00C8379A">
        <w:tc>
          <w:tcPr>
            <w:tcW w:w="720" w:type="dxa"/>
          </w:tcPr>
          <w:p w:rsidR="001A7C45" w:rsidRDefault="002F0C73">
            <w:r>
              <w:t>1.2A</w:t>
            </w:r>
          </w:p>
        </w:tc>
        <w:tc>
          <w:tcPr>
            <w:tcW w:w="2250" w:type="dxa"/>
          </w:tcPr>
          <w:p w:rsidR="001A7C45" w:rsidRDefault="00C8379A">
            <w:r>
              <w:t>Revenues and G</w:t>
            </w:r>
            <w:r w:rsidR="00DC6D3F">
              <w:t>rants</w:t>
            </w:r>
          </w:p>
        </w:tc>
        <w:tc>
          <w:tcPr>
            <w:tcW w:w="7200" w:type="dxa"/>
          </w:tcPr>
          <w:p w:rsidR="001A7C45" w:rsidRDefault="00DC6D3F" w:rsidP="00D83115">
            <w:pPr>
              <w:jc w:val="both"/>
            </w:pPr>
            <w:r>
              <w:t>This is the total of projected cash available to the state under the enlisted sources.  From the total sum of N130</w:t>
            </w:r>
            <w:proofErr w:type="gramStart"/>
            <w:r>
              <w:t>,969,607,876.00</w:t>
            </w:r>
            <w:proofErr w:type="gramEnd"/>
            <w:r>
              <w:t xml:space="preserve"> projected,  the sum of N16,339,716,875.96 accrued to the state as at the first quarter end 2020.  However, the estimated figure hav</w:t>
            </w:r>
            <w:r w:rsidR="002F55C2">
              <w:t>e to be reviewed downward to N79</w:t>
            </w:r>
            <w:proofErr w:type="gramStart"/>
            <w:r>
              <w:t>,849,</w:t>
            </w:r>
            <w:r w:rsidR="00C8379A">
              <w:t>036,143.00</w:t>
            </w:r>
            <w:proofErr w:type="gramEnd"/>
            <w:r w:rsidR="00C8379A">
              <w:t xml:space="preserve"> as a result of the review in the assumptions above.</w:t>
            </w:r>
          </w:p>
        </w:tc>
      </w:tr>
      <w:tr w:rsidR="00C8379A" w:rsidTr="00C8379A">
        <w:tc>
          <w:tcPr>
            <w:tcW w:w="720" w:type="dxa"/>
          </w:tcPr>
          <w:p w:rsidR="00C8379A" w:rsidRDefault="002F0C73">
            <w:r>
              <w:t>1.2B</w:t>
            </w:r>
          </w:p>
        </w:tc>
        <w:tc>
          <w:tcPr>
            <w:tcW w:w="2250" w:type="dxa"/>
          </w:tcPr>
          <w:p w:rsidR="00C8379A" w:rsidRDefault="00C8379A">
            <w:r>
              <w:t xml:space="preserve">Statutory Allocation (Excess PPT, Bank charges, Rate Diff.) Forex Equal. </w:t>
            </w:r>
          </w:p>
        </w:tc>
        <w:tc>
          <w:tcPr>
            <w:tcW w:w="7200" w:type="dxa"/>
          </w:tcPr>
          <w:p w:rsidR="00C8379A" w:rsidRDefault="00C8379A" w:rsidP="00D83115">
            <w:pPr>
              <w:jc w:val="both"/>
            </w:pPr>
            <w:r>
              <w:t>The sum of N85</w:t>
            </w:r>
            <w:proofErr w:type="gramStart"/>
            <w:r>
              <w:t>,000,000,000</w:t>
            </w:r>
            <w:proofErr w:type="gramEnd"/>
            <w:r>
              <w:t xml:space="preserve"> was appropriated for this source but as at the first q</w:t>
            </w:r>
            <w:r w:rsidR="002F55C2">
              <w:t>uarter end 2020, the sum of N9,</w:t>
            </w:r>
            <w:r>
              <w:t>623,630,480.27 accrued to the state. The estimated figure is reviewed downward to N25</w:t>
            </w:r>
            <w:proofErr w:type="gramStart"/>
            <w:r>
              <w:t>,448,239,992.00</w:t>
            </w:r>
            <w:proofErr w:type="gramEnd"/>
            <w:r>
              <w:t xml:space="preserve"> </w:t>
            </w:r>
            <w:r w:rsidR="00BF5C3B">
              <w:t>in accordance with the reference document.  For this, the state has no reason to go beyond the projection of the NGF and the FGN who has the power to generate and share from this source.</w:t>
            </w:r>
          </w:p>
        </w:tc>
      </w:tr>
      <w:tr w:rsidR="00BF5C3B" w:rsidTr="00C8379A">
        <w:tc>
          <w:tcPr>
            <w:tcW w:w="720" w:type="dxa"/>
          </w:tcPr>
          <w:p w:rsidR="00BF5C3B" w:rsidRDefault="002F0C73">
            <w:r>
              <w:t>1.2C</w:t>
            </w:r>
          </w:p>
        </w:tc>
        <w:tc>
          <w:tcPr>
            <w:tcW w:w="2250" w:type="dxa"/>
          </w:tcPr>
          <w:p w:rsidR="00BF5C3B" w:rsidRDefault="00BF5C3B">
            <w:r>
              <w:t>Other FAAC transfers (Covid-19 palliatives ant grants to states)</w:t>
            </w:r>
          </w:p>
        </w:tc>
        <w:tc>
          <w:tcPr>
            <w:tcW w:w="7200" w:type="dxa"/>
          </w:tcPr>
          <w:p w:rsidR="00BF5C3B" w:rsidRDefault="00BF5C3B" w:rsidP="00D83115">
            <w:pPr>
              <w:jc w:val="both"/>
            </w:pPr>
            <w:r>
              <w:t>This source was not envisaged, therefore, not budgeted for in the original budget. However, records from the relevant government units indicated that some relief materials as well as cash have been received and are still being anticipated.  These are therefore estimated at N1</w:t>
            </w:r>
            <w:proofErr w:type="gramStart"/>
            <w:r>
              <w:t>,250,000,000.00</w:t>
            </w:r>
            <w:proofErr w:type="gramEnd"/>
            <w:r>
              <w:t>.</w:t>
            </w:r>
          </w:p>
        </w:tc>
      </w:tr>
      <w:tr w:rsidR="00BF5C3B" w:rsidTr="00C8379A">
        <w:tc>
          <w:tcPr>
            <w:tcW w:w="720" w:type="dxa"/>
          </w:tcPr>
          <w:p w:rsidR="00BF5C3B" w:rsidRDefault="002F0C73">
            <w:r>
              <w:t>1.2D</w:t>
            </w:r>
          </w:p>
        </w:tc>
        <w:tc>
          <w:tcPr>
            <w:tcW w:w="2250" w:type="dxa"/>
          </w:tcPr>
          <w:p w:rsidR="00BF5C3B" w:rsidRDefault="00BF5C3B">
            <w:r>
              <w:t>Receipts from Nigeria CARES Project</w:t>
            </w:r>
          </w:p>
        </w:tc>
        <w:tc>
          <w:tcPr>
            <w:tcW w:w="7200" w:type="dxa"/>
          </w:tcPr>
          <w:p w:rsidR="00BF5C3B" w:rsidRDefault="00BF5C3B" w:rsidP="00D83115">
            <w:pPr>
              <w:jc w:val="both"/>
            </w:pPr>
            <w:r>
              <w:t xml:space="preserve">As stated above this source was not provided for and it came as a result of the covid-19 pandemic.  However, plans have reached a considerable level to provide funds to all states </w:t>
            </w:r>
            <w:r w:rsidR="006E2AC0">
              <w:t xml:space="preserve">from the Additional Financing (AF) program </w:t>
            </w:r>
            <w:r>
              <w:t xml:space="preserve">to the tune of $750,000,000.00 to be shared equally among all states in the country. To this end, </w:t>
            </w:r>
            <w:proofErr w:type="spellStart"/>
            <w:r>
              <w:t>Taraba</w:t>
            </w:r>
            <w:proofErr w:type="spellEnd"/>
            <w:r>
              <w:t xml:space="preserve"> state is expected to benefit to the tu</w:t>
            </w:r>
            <w:r w:rsidR="00D83115">
              <w:t>ne of $20,000,000.00 (about N7.00</w:t>
            </w:r>
            <w:r>
              <w:t>b</w:t>
            </w:r>
            <w:r w:rsidR="00D83115">
              <w:t>illion</w:t>
            </w:r>
            <w:r>
              <w:t>).  To be on a conservative side, the sum of 7billion have to be captured in the revised budget</w:t>
            </w:r>
            <w:r w:rsidR="006E2AC0">
              <w:t>.</w:t>
            </w:r>
          </w:p>
        </w:tc>
      </w:tr>
      <w:tr w:rsidR="006E2AC0" w:rsidTr="00C8379A">
        <w:tc>
          <w:tcPr>
            <w:tcW w:w="720" w:type="dxa"/>
          </w:tcPr>
          <w:p w:rsidR="006E2AC0" w:rsidRDefault="002F0C73">
            <w:r>
              <w:t>1.2E</w:t>
            </w:r>
          </w:p>
        </w:tc>
        <w:tc>
          <w:tcPr>
            <w:tcW w:w="2250" w:type="dxa"/>
          </w:tcPr>
          <w:p w:rsidR="006E2AC0" w:rsidRDefault="006E2AC0">
            <w:r>
              <w:t>Value Added Tax (VAT)</w:t>
            </w:r>
          </w:p>
        </w:tc>
        <w:tc>
          <w:tcPr>
            <w:tcW w:w="7200" w:type="dxa"/>
          </w:tcPr>
          <w:p w:rsidR="006E2AC0" w:rsidRDefault="006E2AC0" w:rsidP="00D83115">
            <w:pPr>
              <w:jc w:val="both"/>
            </w:pPr>
            <w:r>
              <w:t>The sum of N17</w:t>
            </w:r>
            <w:proofErr w:type="gramStart"/>
            <w:r>
              <w:t>,000,000,000.00</w:t>
            </w:r>
            <w:proofErr w:type="gramEnd"/>
            <w:r>
              <w:t xml:space="preserve"> was appropriated for this source out of which the sum of N2,895,117,018.26 accrued to the state as at first quarter end 2020. However, this figure also have to reviewed downward N11,681,188,275.00 in conformity with the NGF and FGN who generates share accordingly.</w:t>
            </w:r>
          </w:p>
        </w:tc>
      </w:tr>
      <w:tr w:rsidR="003866E8" w:rsidTr="00C8379A">
        <w:tc>
          <w:tcPr>
            <w:tcW w:w="720" w:type="dxa"/>
          </w:tcPr>
          <w:p w:rsidR="003866E8" w:rsidRDefault="002F0C73">
            <w:r>
              <w:lastRenderedPageBreak/>
              <w:t>1.2F</w:t>
            </w:r>
          </w:p>
        </w:tc>
        <w:tc>
          <w:tcPr>
            <w:tcW w:w="2250" w:type="dxa"/>
          </w:tcPr>
          <w:p w:rsidR="003866E8" w:rsidRDefault="003866E8">
            <w:r>
              <w:t>Internally Generated Revenue (IGR)</w:t>
            </w:r>
          </w:p>
        </w:tc>
        <w:tc>
          <w:tcPr>
            <w:tcW w:w="7200" w:type="dxa"/>
          </w:tcPr>
          <w:p w:rsidR="003866E8" w:rsidRDefault="003866E8" w:rsidP="00D83115">
            <w:pPr>
              <w:jc w:val="both"/>
            </w:pPr>
            <w:r>
              <w:t>This is a revenue source that the state government has control/influence over.  For the fiscal year under review, the sum of N6</w:t>
            </w:r>
            <w:proofErr w:type="gramStart"/>
            <w:r>
              <w:t>,580,448,8</w:t>
            </w:r>
            <w:r w:rsidR="006C3AC9">
              <w:t>86.00</w:t>
            </w:r>
            <w:proofErr w:type="gramEnd"/>
            <w:r w:rsidR="006C3AC9">
              <w:t xml:space="preserve"> is</w:t>
            </w:r>
            <w:r>
              <w:t xml:space="preserve"> appropriated out of which the sum of N2,939,295,677.43 was generated as at first quarter end 2020.  Despite the adverse effect of the pandemic, we still maintained this figure because of the following reasons:- </w:t>
            </w:r>
          </w:p>
          <w:p w:rsidR="003866E8" w:rsidRDefault="003866E8" w:rsidP="00D83115">
            <w:pPr>
              <w:jc w:val="both"/>
            </w:pPr>
            <w:proofErr w:type="spellStart"/>
            <w:r>
              <w:t>i</w:t>
            </w:r>
            <w:proofErr w:type="spellEnd"/>
            <w:r>
              <w:t>. The state</w:t>
            </w:r>
            <w:r w:rsidR="00A94A76">
              <w:t xml:space="preserve"> has </w:t>
            </w:r>
            <w:r>
              <w:t xml:space="preserve">bag-loads of revenue arrears to be collected especially from the   Federal IPPIS with over 4 billion out of more than half have already been </w:t>
            </w:r>
            <w:r w:rsidR="00A94A76">
              <w:t xml:space="preserve">  </w:t>
            </w:r>
            <w:r>
              <w:t>re</w:t>
            </w:r>
            <w:r w:rsidR="00A94A76">
              <w:t>covered;</w:t>
            </w:r>
          </w:p>
          <w:p w:rsidR="003866E8" w:rsidRDefault="003866E8" w:rsidP="00D83115">
            <w:pPr>
              <w:jc w:val="both"/>
            </w:pPr>
            <w:r>
              <w:t xml:space="preserve">ii. The IGR performance </w:t>
            </w:r>
            <w:r w:rsidR="00A94A76">
              <w:t xml:space="preserve">from January to May </w:t>
            </w:r>
            <w:r>
              <w:t>have been consistently high despite the lockdown</w:t>
            </w:r>
            <w:r w:rsidR="00A94A76">
              <w:t>;</w:t>
            </w:r>
          </w:p>
          <w:p w:rsidR="00A94A76" w:rsidRDefault="003866E8" w:rsidP="00D83115">
            <w:pPr>
              <w:jc w:val="both"/>
            </w:pPr>
            <w:r>
              <w:t xml:space="preserve">iii. The IGR cumulative </w:t>
            </w:r>
            <w:r w:rsidR="00A94A76">
              <w:t>performance is over</w:t>
            </w:r>
            <w:r>
              <w:t xml:space="preserve"> 56.5% as at May 31</w:t>
            </w:r>
            <w:r w:rsidRPr="003866E8">
              <w:rPr>
                <w:vertAlign w:val="superscript"/>
              </w:rPr>
              <w:t>st</w:t>
            </w:r>
            <w:r>
              <w:t xml:space="preserve"> 2020.</w:t>
            </w:r>
            <w:r w:rsidR="006C3AC9">
              <w:t xml:space="preserve"> The IGR performance is so owing to the fact that the major source of this revenue item is from PAYEE therefore, since salaries are not </w:t>
            </w:r>
            <w:r w:rsidR="002F2703">
              <w:t xml:space="preserve">tempered it will continue to perform.  </w:t>
            </w:r>
            <w:r w:rsidR="00A94A76">
              <w:t xml:space="preserve">However, Tax relief package have already been submitted and is awaiting official proclamation.  </w:t>
            </w:r>
          </w:p>
          <w:p w:rsidR="00A94A76" w:rsidRDefault="00A94A76" w:rsidP="00D83115">
            <w:pPr>
              <w:jc w:val="both"/>
            </w:pPr>
            <w:r>
              <w:t xml:space="preserve">From the </w:t>
            </w:r>
            <w:r w:rsidR="002F2703">
              <w:t>foregoing, we are optimistic that</w:t>
            </w:r>
            <w:r>
              <w:t xml:space="preserve"> this revenue target can be met.</w:t>
            </w:r>
          </w:p>
        </w:tc>
      </w:tr>
      <w:tr w:rsidR="003866E8" w:rsidTr="00C8379A">
        <w:tc>
          <w:tcPr>
            <w:tcW w:w="720" w:type="dxa"/>
          </w:tcPr>
          <w:p w:rsidR="003866E8" w:rsidRDefault="002F0C73">
            <w:r>
              <w:t>1.2G</w:t>
            </w:r>
          </w:p>
        </w:tc>
        <w:tc>
          <w:tcPr>
            <w:tcW w:w="2250" w:type="dxa"/>
          </w:tcPr>
          <w:p w:rsidR="003866E8" w:rsidRDefault="00A94A76">
            <w:r>
              <w:t xml:space="preserve">Aids and Grants </w:t>
            </w:r>
          </w:p>
        </w:tc>
        <w:tc>
          <w:tcPr>
            <w:tcW w:w="7200" w:type="dxa"/>
          </w:tcPr>
          <w:p w:rsidR="003866E8" w:rsidRDefault="00A94A76" w:rsidP="00D83115">
            <w:pPr>
              <w:jc w:val="both"/>
            </w:pPr>
            <w:r>
              <w:t>For the year under review, the sum of N9</w:t>
            </w:r>
            <w:proofErr w:type="gramStart"/>
            <w:r>
              <w:t>,936,795,626</w:t>
            </w:r>
            <w:proofErr w:type="gramEnd"/>
            <w:r>
              <w:t xml:space="preserve"> was estimated out of which the sum of N881,673,700.00 accrued.  However, we chose to maintain the figure this is the time that more Aids and Grants are expected as a result of the covid-19 pandemic.</w:t>
            </w:r>
          </w:p>
        </w:tc>
      </w:tr>
      <w:tr w:rsidR="00A94A76" w:rsidTr="00C8379A">
        <w:tc>
          <w:tcPr>
            <w:tcW w:w="720" w:type="dxa"/>
          </w:tcPr>
          <w:p w:rsidR="00A94A76" w:rsidRDefault="002F0C73">
            <w:r>
              <w:t>1.2H</w:t>
            </w:r>
          </w:p>
        </w:tc>
        <w:tc>
          <w:tcPr>
            <w:tcW w:w="2250" w:type="dxa"/>
          </w:tcPr>
          <w:p w:rsidR="00A94A76" w:rsidRDefault="00A94A76">
            <w:r>
              <w:t>Capital Receipts (net Internal/External loans &amp; transfers to CDF) FGN Refund</w:t>
            </w:r>
          </w:p>
        </w:tc>
        <w:tc>
          <w:tcPr>
            <w:tcW w:w="7200" w:type="dxa"/>
          </w:tcPr>
          <w:p w:rsidR="00A94A76" w:rsidRDefault="00AC660D" w:rsidP="00D83115">
            <w:pPr>
              <w:jc w:val="both"/>
            </w:pPr>
            <w:r>
              <w:t>The sum of N12</w:t>
            </w:r>
            <w:proofErr w:type="gramStart"/>
            <w:r>
              <w:t>,452,363,364.00</w:t>
            </w:r>
            <w:proofErr w:type="gramEnd"/>
            <w:r>
              <w:t xml:space="preserve"> is repeated in the revised budget because in is the balance of the refund due to </w:t>
            </w:r>
            <w:proofErr w:type="spellStart"/>
            <w:r>
              <w:t>Taraba</w:t>
            </w:r>
            <w:proofErr w:type="spellEnd"/>
            <w:r>
              <w:t xml:space="preserve"> from  a total sum of over N34,000,000,000.  Over N21</w:t>
            </w:r>
            <w:proofErr w:type="gramStart"/>
            <w:r>
              <w:t>,000,000,000</w:t>
            </w:r>
            <w:proofErr w:type="gramEnd"/>
            <w:r>
              <w:t>. Was paid last year from the total sum above.  Therefore, it is already a liability on the Federal Government.</w:t>
            </w:r>
          </w:p>
        </w:tc>
      </w:tr>
      <w:tr w:rsidR="004E202C" w:rsidTr="00C8379A">
        <w:tc>
          <w:tcPr>
            <w:tcW w:w="720" w:type="dxa"/>
          </w:tcPr>
          <w:p w:rsidR="004E202C" w:rsidRDefault="002F0C73">
            <w:r>
              <w:t>1.2I</w:t>
            </w:r>
          </w:p>
        </w:tc>
        <w:tc>
          <w:tcPr>
            <w:tcW w:w="2250" w:type="dxa"/>
          </w:tcPr>
          <w:p w:rsidR="004E202C" w:rsidRDefault="004E202C">
            <w:r>
              <w:t xml:space="preserve">FGN Budget Support to States (SFTAS </w:t>
            </w:r>
            <w:proofErr w:type="spellStart"/>
            <w:r>
              <w:t>PforR</w:t>
            </w:r>
            <w:proofErr w:type="spellEnd"/>
            <w:r>
              <w:t>)</w:t>
            </w:r>
          </w:p>
        </w:tc>
        <w:tc>
          <w:tcPr>
            <w:tcW w:w="7200" w:type="dxa"/>
          </w:tcPr>
          <w:p w:rsidR="004E202C" w:rsidRDefault="004E202C" w:rsidP="00D83115">
            <w:pPr>
              <w:jc w:val="both"/>
            </w:pPr>
            <w:r>
              <w:t>No amount was estimated in the original budget but the sum of N5,5000,000,000.00 is proposed in the revision because, the state has already received N2,340,000,000.00 for the 2018 Assessment and disbursement.  The state is expecting more from the 2019 assessment and also from the Additional Financing (AF) come September 2020.</w:t>
            </w:r>
          </w:p>
        </w:tc>
      </w:tr>
      <w:tr w:rsidR="009F5A3B" w:rsidTr="00C8379A">
        <w:tc>
          <w:tcPr>
            <w:tcW w:w="720" w:type="dxa"/>
          </w:tcPr>
          <w:p w:rsidR="009F5A3B" w:rsidRPr="009F5A3B" w:rsidRDefault="00DD4132">
            <w:pPr>
              <w:rPr>
                <w:b/>
              </w:rPr>
            </w:pPr>
            <w:r>
              <w:rPr>
                <w:b/>
              </w:rPr>
              <w:t>2.1</w:t>
            </w:r>
          </w:p>
        </w:tc>
        <w:tc>
          <w:tcPr>
            <w:tcW w:w="2250" w:type="dxa"/>
          </w:tcPr>
          <w:p w:rsidR="009F5A3B" w:rsidRPr="009F5A3B" w:rsidRDefault="009F5A3B">
            <w:pPr>
              <w:rPr>
                <w:b/>
              </w:rPr>
            </w:pPr>
            <w:r w:rsidRPr="009F5A3B">
              <w:rPr>
                <w:b/>
              </w:rPr>
              <w:t>Expenditures</w:t>
            </w:r>
          </w:p>
        </w:tc>
        <w:tc>
          <w:tcPr>
            <w:tcW w:w="7200" w:type="dxa"/>
          </w:tcPr>
          <w:p w:rsidR="009F5A3B" w:rsidRDefault="00B43845" w:rsidP="00D83115">
            <w:pPr>
              <w:jc w:val="both"/>
            </w:pPr>
            <w:r>
              <w:t>The figure under this rows are summaries of the expenditure items.  In the original budget, a budget size of N215</w:t>
            </w:r>
            <w:proofErr w:type="gramStart"/>
            <w:r>
              <w:t>,823,576,810.00</w:t>
            </w:r>
            <w:proofErr w:type="gramEnd"/>
            <w:r>
              <w:t xml:space="preserve"> was appropriated for the fiscal period out of which the sum of N15,036,143,235.73  accrued and expended accordingly as at first quarter of the year.  The total budget is </w:t>
            </w:r>
            <w:r w:rsidR="00880C61">
              <w:t>proposed to be reviewed to N172</w:t>
            </w:r>
            <w:proofErr w:type="gramStart"/>
            <w:r w:rsidR="00880C61">
              <w:t>,387,990,59</w:t>
            </w:r>
            <w:r>
              <w:t>4.90</w:t>
            </w:r>
            <w:proofErr w:type="gramEnd"/>
            <w:r>
              <w:t xml:space="preserve"> as a result of the downward review of some of the assumptions in </w:t>
            </w:r>
            <w:r w:rsidR="00880C61">
              <w:t xml:space="preserve">EN </w:t>
            </w:r>
            <w:r>
              <w:t>1.1 above.</w:t>
            </w:r>
            <w:r w:rsidR="003F2B65">
              <w:t xml:space="preserve">  Out of the reviewed, the sum of N18</w:t>
            </w:r>
            <w:proofErr w:type="gramStart"/>
            <w:r w:rsidR="003F2B65">
              <w:t>,103,395,633.10</w:t>
            </w:r>
            <w:proofErr w:type="gramEnd"/>
            <w:r w:rsidR="003F2B65">
              <w:t xml:space="preserve"> (11%) is allocated to Covid-19 related projects/programmes.</w:t>
            </w:r>
          </w:p>
        </w:tc>
      </w:tr>
      <w:tr w:rsidR="00B43845" w:rsidTr="00C8379A">
        <w:tc>
          <w:tcPr>
            <w:tcW w:w="720" w:type="dxa"/>
          </w:tcPr>
          <w:p w:rsidR="00B43845" w:rsidRPr="003F2B65" w:rsidRDefault="00DD4132">
            <w:r>
              <w:t>2.1</w:t>
            </w:r>
            <w:r w:rsidR="002F0C73">
              <w:t>A</w:t>
            </w:r>
          </w:p>
        </w:tc>
        <w:tc>
          <w:tcPr>
            <w:tcW w:w="2250" w:type="dxa"/>
          </w:tcPr>
          <w:p w:rsidR="00B43845" w:rsidRPr="00080CBC" w:rsidRDefault="003F2B65">
            <w:pPr>
              <w:rPr>
                <w:b/>
              </w:rPr>
            </w:pPr>
            <w:r w:rsidRPr="00080CBC">
              <w:rPr>
                <w:b/>
              </w:rPr>
              <w:t>Recurrent Expenditure</w:t>
            </w:r>
            <w:r w:rsidR="00DD4132" w:rsidRPr="00080CBC">
              <w:rPr>
                <w:b/>
              </w:rPr>
              <w:t>s</w:t>
            </w:r>
          </w:p>
        </w:tc>
        <w:tc>
          <w:tcPr>
            <w:tcW w:w="7200" w:type="dxa"/>
          </w:tcPr>
          <w:p w:rsidR="00B43845" w:rsidRDefault="003F2B65" w:rsidP="00D83115">
            <w:pPr>
              <w:jc w:val="both"/>
            </w:pPr>
            <w:r>
              <w:t>From the original budget size stated above, the sum of N72</w:t>
            </w:r>
            <w:proofErr w:type="gramStart"/>
            <w:r>
              <w:t>,338,327,981.00</w:t>
            </w:r>
            <w:proofErr w:type="gramEnd"/>
            <w:r>
              <w:t xml:space="preserve"> is allocated to recurrent expenditure out of which the sum of N13,876,126,253,31 was expended as at march 31</w:t>
            </w:r>
            <w:r w:rsidRPr="003F2B65">
              <w:rPr>
                <w:vertAlign w:val="superscript"/>
              </w:rPr>
              <w:t>st</w:t>
            </w:r>
            <w:r>
              <w:t xml:space="preserve"> 2020.  The budget amount is slightly reduced to</w:t>
            </w:r>
            <w:r w:rsidR="00534C18">
              <w:t>o</w:t>
            </w:r>
            <w:r>
              <w:t xml:space="preserve"> by N700,000,000.00</w:t>
            </w:r>
            <w:r w:rsidR="00534C18">
              <w:t xml:space="preserve"> from a non-essential services Overhead Cost</w:t>
            </w:r>
            <w:r>
              <w:t xml:space="preserve"> because the estimate was conservatively made</w:t>
            </w:r>
            <w:r w:rsidR="00534C18">
              <w:t>, bringing the new proposed figure to N71,638,327,981.00</w:t>
            </w:r>
            <w:r>
              <w:t>.  Most of the items there are staff salaries, pension and gratuities which are computed and have become liabilities or necessary expenditures to the Government.</w:t>
            </w:r>
            <w:r w:rsidR="001B014A">
              <w:t xml:space="preserve"> </w:t>
            </w:r>
            <w:proofErr w:type="spellStart"/>
            <w:r w:rsidR="001B014A">
              <w:t>Moreso</w:t>
            </w:r>
            <w:proofErr w:type="spellEnd"/>
            <w:r w:rsidR="001B014A">
              <w:t>, some of the palliatives are provided through the recurrent expenditures.</w:t>
            </w:r>
          </w:p>
        </w:tc>
      </w:tr>
      <w:tr w:rsidR="001B014A" w:rsidTr="00C8379A">
        <w:tc>
          <w:tcPr>
            <w:tcW w:w="720" w:type="dxa"/>
          </w:tcPr>
          <w:p w:rsidR="001B014A" w:rsidRPr="003F2B65" w:rsidRDefault="00DD4132">
            <w:r>
              <w:lastRenderedPageBreak/>
              <w:t>2.1</w:t>
            </w:r>
            <w:r w:rsidR="002F0C73">
              <w:t>B</w:t>
            </w:r>
          </w:p>
        </w:tc>
        <w:tc>
          <w:tcPr>
            <w:tcW w:w="2250" w:type="dxa"/>
          </w:tcPr>
          <w:p w:rsidR="001B014A" w:rsidRDefault="004B3322">
            <w:r>
              <w:t xml:space="preserve">Personnel Cost (Salaries, Pension </w:t>
            </w:r>
            <w:r w:rsidR="005F6CEF">
              <w:t>and Gratuities)</w:t>
            </w:r>
          </w:p>
        </w:tc>
        <w:tc>
          <w:tcPr>
            <w:tcW w:w="7200" w:type="dxa"/>
          </w:tcPr>
          <w:p w:rsidR="001B014A" w:rsidRDefault="005F6CEF" w:rsidP="00D83115">
            <w:pPr>
              <w:jc w:val="both"/>
            </w:pPr>
            <w:r>
              <w:t>The sum of N31</w:t>
            </w:r>
            <w:proofErr w:type="gramStart"/>
            <w:r>
              <w:t>,974,686,942.00</w:t>
            </w:r>
            <w:proofErr w:type="gramEnd"/>
            <w:r>
              <w:t xml:space="preserve"> is appropriated on the original budget whereas, the sum of N5,410,269,400.22 was </w:t>
            </w:r>
            <w:r w:rsidR="00B32ADD">
              <w:t>expended as at Q1</w:t>
            </w:r>
            <w:r>
              <w:t xml:space="preserve"> 2020.  As stated earlier above, the estimated figure is maintained because they are computed and have become liabilities and necessary expenditures that must be incurred. </w:t>
            </w:r>
          </w:p>
        </w:tc>
      </w:tr>
      <w:tr w:rsidR="005F6CEF" w:rsidTr="00C8379A">
        <w:tc>
          <w:tcPr>
            <w:tcW w:w="720" w:type="dxa"/>
          </w:tcPr>
          <w:p w:rsidR="005F6CEF" w:rsidRDefault="00DD4132">
            <w:r>
              <w:t>2.1</w:t>
            </w:r>
            <w:r w:rsidR="002F0C73">
              <w:t>C</w:t>
            </w:r>
          </w:p>
        </w:tc>
        <w:tc>
          <w:tcPr>
            <w:tcW w:w="2250" w:type="dxa"/>
          </w:tcPr>
          <w:p w:rsidR="005F6CEF" w:rsidRPr="00DD4132" w:rsidRDefault="005F6CEF">
            <w:r w:rsidRPr="00DD4132">
              <w:t>Overhead Cost</w:t>
            </w:r>
          </w:p>
        </w:tc>
        <w:tc>
          <w:tcPr>
            <w:tcW w:w="7200" w:type="dxa"/>
          </w:tcPr>
          <w:p w:rsidR="005F6CEF" w:rsidRDefault="005F6CEF" w:rsidP="00D83115">
            <w:pPr>
              <w:jc w:val="both"/>
            </w:pPr>
            <w:r>
              <w:t>The sum of N28</w:t>
            </w:r>
            <w:proofErr w:type="gramStart"/>
            <w:r>
              <w:t>,512,819,719.00</w:t>
            </w:r>
            <w:proofErr w:type="gramEnd"/>
            <w:r>
              <w:t xml:space="preserve"> is estimated out of which N5,566,236,234.03 was expended from January to March 2020.  The estimated figure is slightly dropped (700,000,000.00) to give an amended figure of N2</w:t>
            </w:r>
            <w:r w:rsidR="006C3AC9">
              <w:t>7</w:t>
            </w:r>
            <w:proofErr w:type="gramStart"/>
            <w:r w:rsidR="006C3AC9">
              <w:t>,812,819,719.00</w:t>
            </w:r>
            <w:proofErr w:type="gramEnd"/>
            <w:r w:rsidR="006C3AC9">
              <w:t>.</w:t>
            </w:r>
          </w:p>
        </w:tc>
      </w:tr>
      <w:tr w:rsidR="007F2874" w:rsidTr="00C8379A">
        <w:tc>
          <w:tcPr>
            <w:tcW w:w="720" w:type="dxa"/>
          </w:tcPr>
          <w:p w:rsidR="007F2874" w:rsidRDefault="00DD4132">
            <w:r>
              <w:t>2.1</w:t>
            </w:r>
            <w:r w:rsidR="002F0C73">
              <w:t>D</w:t>
            </w:r>
          </w:p>
        </w:tc>
        <w:tc>
          <w:tcPr>
            <w:tcW w:w="2250" w:type="dxa"/>
          </w:tcPr>
          <w:p w:rsidR="007F2874" w:rsidRDefault="000E08D6">
            <w:r>
              <w:t>Public Debt Charges, (Interest Payments, or Debt Services including Deductions, Repayments</w:t>
            </w:r>
          </w:p>
        </w:tc>
        <w:tc>
          <w:tcPr>
            <w:tcW w:w="7200" w:type="dxa"/>
          </w:tcPr>
          <w:p w:rsidR="007F2874" w:rsidRDefault="000E08D6" w:rsidP="00D83115">
            <w:pPr>
              <w:jc w:val="both"/>
            </w:pPr>
            <w:r>
              <w:t>The sum of N7</w:t>
            </w:r>
            <w:proofErr w:type="gramStart"/>
            <w:r w:rsidR="00B32ADD">
              <w:t>,</w:t>
            </w:r>
            <w:r>
              <w:t>229,149,928.00</w:t>
            </w:r>
            <w:proofErr w:type="gramEnd"/>
            <w:r>
              <w:t xml:space="preserve"> is estimated for this purpose but as at March 3ist 2020, the sum of N1,728,889,027.33 was expended.  This figure is maintained because the state still have the capacity to pay accordingly. However, plans are on the way for repayment relief. </w:t>
            </w:r>
          </w:p>
        </w:tc>
      </w:tr>
      <w:tr w:rsidR="00F01E87" w:rsidTr="00C8379A">
        <w:tc>
          <w:tcPr>
            <w:tcW w:w="720" w:type="dxa"/>
          </w:tcPr>
          <w:p w:rsidR="00F01E87" w:rsidRDefault="00DD4132">
            <w:r>
              <w:t>2.1</w:t>
            </w:r>
            <w:r w:rsidR="002F0C73">
              <w:t>E</w:t>
            </w:r>
          </w:p>
        </w:tc>
        <w:tc>
          <w:tcPr>
            <w:tcW w:w="2250" w:type="dxa"/>
          </w:tcPr>
          <w:p w:rsidR="00F01E87" w:rsidRDefault="00DD4132">
            <w:r>
              <w:t>Consolidated Revenue</w:t>
            </w:r>
            <w:r w:rsidR="00F01E87">
              <w:t xml:space="preserve"> Fund Charges (Statutory Office Holders’ Salaries/</w:t>
            </w:r>
            <w:proofErr w:type="spellStart"/>
            <w:r w:rsidR="00F01E87">
              <w:t>Allo</w:t>
            </w:r>
            <w:proofErr w:type="spellEnd"/>
            <w:r w:rsidR="00F01E87">
              <w:t>.</w:t>
            </w:r>
            <w:r w:rsidR="000E387D">
              <w:t>)</w:t>
            </w:r>
          </w:p>
        </w:tc>
        <w:tc>
          <w:tcPr>
            <w:tcW w:w="7200" w:type="dxa"/>
          </w:tcPr>
          <w:p w:rsidR="00F01E87" w:rsidRDefault="00F01E87" w:rsidP="00D83115">
            <w:pPr>
              <w:jc w:val="both"/>
            </w:pPr>
            <w:r>
              <w:t>In the year under review, the sum of N4</w:t>
            </w:r>
            <w:proofErr w:type="gramStart"/>
            <w:r>
              <w:t>,621,671,392.00</w:t>
            </w:r>
            <w:proofErr w:type="gramEnd"/>
            <w:r>
              <w:t xml:space="preserve"> is appropriated and as at the first quarter end, N1,170,731,591.73 was expended.  The budgeted figure is also maintained because it is a necessary expenditure. </w:t>
            </w:r>
            <w:proofErr w:type="spellStart"/>
            <w:r>
              <w:t>Moreso</w:t>
            </w:r>
            <w:proofErr w:type="spellEnd"/>
            <w:r>
              <w:t>, the average performance of this item shows that it can hit its target.</w:t>
            </w:r>
          </w:p>
        </w:tc>
      </w:tr>
      <w:tr w:rsidR="006C3AC9" w:rsidTr="00C8379A">
        <w:tc>
          <w:tcPr>
            <w:tcW w:w="720" w:type="dxa"/>
          </w:tcPr>
          <w:p w:rsidR="006C3AC9" w:rsidRDefault="000E387D">
            <w:r>
              <w:t>2.1</w:t>
            </w:r>
            <w:r w:rsidR="002F0C73">
              <w:t>F</w:t>
            </w:r>
          </w:p>
        </w:tc>
        <w:tc>
          <w:tcPr>
            <w:tcW w:w="2250" w:type="dxa"/>
          </w:tcPr>
          <w:p w:rsidR="006C3AC9" w:rsidRPr="006C3AC9" w:rsidRDefault="006C3AC9">
            <w:pPr>
              <w:rPr>
                <w:b/>
              </w:rPr>
            </w:pPr>
            <w:r w:rsidRPr="006C3AC9">
              <w:rPr>
                <w:b/>
              </w:rPr>
              <w:t>Capital Expenditures</w:t>
            </w:r>
          </w:p>
        </w:tc>
        <w:tc>
          <w:tcPr>
            <w:tcW w:w="7200" w:type="dxa"/>
          </w:tcPr>
          <w:p w:rsidR="006C3AC9" w:rsidRDefault="00C00586" w:rsidP="00D83115">
            <w:pPr>
              <w:jc w:val="both"/>
            </w:pPr>
            <w:r>
              <w:t xml:space="preserve">This row contains the summary of capital expenditures.  From the original budget, a total sum of N143,485,248,829.00 is appropriated for capital Development out of which the sum of N1,160,016,982.42 was expended as at the first quarter end 2020.  The revised estimate brought it down to </w:t>
            </w:r>
            <w:r w:rsidR="000E387D">
              <w:t>N100</w:t>
            </w:r>
            <w:proofErr w:type="gramStart"/>
            <w:r w:rsidR="000E387D">
              <w:t>,749,662,613.90</w:t>
            </w:r>
            <w:proofErr w:type="gramEnd"/>
            <w:r w:rsidR="002F5658">
              <w:t xml:space="preserve"> because the bulk of the revision is done on the capital. This deduction does not correspond with the total deduction in the revenue </w:t>
            </w:r>
            <w:r w:rsidR="006B0B78">
              <w:t>(less than that of the revenue) because the excess financing gap is expected to be financed through loans. However, 19% of this allocation is dedicated to Covid-19 related programs/projects.</w:t>
            </w:r>
          </w:p>
        </w:tc>
      </w:tr>
      <w:tr w:rsidR="006B0B78" w:rsidTr="00C8379A">
        <w:tc>
          <w:tcPr>
            <w:tcW w:w="720" w:type="dxa"/>
          </w:tcPr>
          <w:p w:rsidR="006B0B78" w:rsidRDefault="000E387D">
            <w:r>
              <w:t>2.1</w:t>
            </w:r>
            <w:r w:rsidR="002F0C73">
              <w:t>G</w:t>
            </w:r>
          </w:p>
        </w:tc>
        <w:tc>
          <w:tcPr>
            <w:tcW w:w="2250" w:type="dxa"/>
          </w:tcPr>
          <w:p w:rsidR="006B0B78" w:rsidRPr="00360B5C" w:rsidRDefault="006B0B78">
            <w:r w:rsidRPr="00360B5C">
              <w:t>Economic Sector</w:t>
            </w:r>
          </w:p>
        </w:tc>
        <w:tc>
          <w:tcPr>
            <w:tcW w:w="7200" w:type="dxa"/>
          </w:tcPr>
          <w:p w:rsidR="006B0B78" w:rsidRDefault="00360B5C" w:rsidP="00D83115">
            <w:pPr>
              <w:jc w:val="both"/>
            </w:pPr>
            <w:r>
              <w:t>In the original budget, this sector carried the lion share because of its multiplier effect on the whole economy.  The sum of N97</w:t>
            </w:r>
            <w:proofErr w:type="gramStart"/>
            <w:r w:rsidR="002F0C73">
              <w:t>,</w:t>
            </w:r>
            <w:r>
              <w:t>453,399,124.00</w:t>
            </w:r>
            <w:proofErr w:type="gramEnd"/>
            <w:r>
              <w:t xml:space="preserve"> is allocated out of which N9</w:t>
            </w:r>
            <w:r w:rsidR="002F0C73">
              <w:t>,</w:t>
            </w:r>
            <w:r>
              <w:t xml:space="preserve">28,004,748.421 was expended.  The review still leaves the sector </w:t>
            </w:r>
            <w:r w:rsidR="000E387D">
              <w:t>on the lead with N68</w:t>
            </w:r>
            <w:proofErr w:type="gramStart"/>
            <w:r w:rsidR="000E387D">
              <w:t>,156,326,403</w:t>
            </w:r>
            <w:r>
              <w:t>.00</w:t>
            </w:r>
            <w:proofErr w:type="gramEnd"/>
            <w:r>
              <w:t xml:space="preserve"> and about 10% of it allocated to Covid-19 related programs/projects. </w:t>
            </w:r>
          </w:p>
        </w:tc>
      </w:tr>
      <w:tr w:rsidR="008C3F3F" w:rsidTr="00C8379A">
        <w:tc>
          <w:tcPr>
            <w:tcW w:w="720" w:type="dxa"/>
          </w:tcPr>
          <w:p w:rsidR="008C3F3F" w:rsidRDefault="00B05D53">
            <w:r>
              <w:t>2.1</w:t>
            </w:r>
            <w:r w:rsidR="002F0C73">
              <w:t>H</w:t>
            </w:r>
          </w:p>
        </w:tc>
        <w:tc>
          <w:tcPr>
            <w:tcW w:w="2250" w:type="dxa"/>
          </w:tcPr>
          <w:p w:rsidR="008C3F3F" w:rsidRPr="00360B5C" w:rsidRDefault="008C3F3F">
            <w:r>
              <w:t>Social Sector</w:t>
            </w:r>
          </w:p>
        </w:tc>
        <w:tc>
          <w:tcPr>
            <w:tcW w:w="7200" w:type="dxa"/>
          </w:tcPr>
          <w:p w:rsidR="008C3F3F" w:rsidRDefault="008C3F3F" w:rsidP="00D83115">
            <w:pPr>
              <w:jc w:val="both"/>
            </w:pPr>
            <w:r>
              <w:t>This is the next sector with the largest allocation after the Economic sector. The sector provide the citizenry with amenities needed for livelihood. It has an estimate of N27</w:t>
            </w:r>
            <w:proofErr w:type="gramStart"/>
            <w:r>
              <w:t>,156,390,412.00</w:t>
            </w:r>
            <w:proofErr w:type="gramEnd"/>
            <w:r>
              <w:t xml:space="preserve"> and a performance of N213,350,000.00 as at first quarter of the year.  The review also keeps it in the second leading allocation with N19</w:t>
            </w:r>
            <w:proofErr w:type="gramStart"/>
            <w:r>
              <w:t>,680,714,440.30</w:t>
            </w:r>
            <w:proofErr w:type="gramEnd"/>
            <w:r>
              <w:t xml:space="preserve"> of which about 4</w:t>
            </w:r>
            <w:r w:rsidR="00E31F8D">
              <w:t>2% is committed to covid-19 response.</w:t>
            </w:r>
          </w:p>
        </w:tc>
      </w:tr>
      <w:tr w:rsidR="00E31F8D" w:rsidTr="00C8379A">
        <w:tc>
          <w:tcPr>
            <w:tcW w:w="720" w:type="dxa"/>
          </w:tcPr>
          <w:p w:rsidR="00E31F8D" w:rsidRDefault="00B05D53">
            <w:r>
              <w:t>2.1I</w:t>
            </w:r>
          </w:p>
        </w:tc>
        <w:tc>
          <w:tcPr>
            <w:tcW w:w="2250" w:type="dxa"/>
          </w:tcPr>
          <w:p w:rsidR="00E31F8D" w:rsidRDefault="00E31F8D">
            <w:r>
              <w:t>Regional Sector</w:t>
            </w:r>
          </w:p>
        </w:tc>
        <w:tc>
          <w:tcPr>
            <w:tcW w:w="7200" w:type="dxa"/>
          </w:tcPr>
          <w:p w:rsidR="00E31F8D" w:rsidRDefault="00B027C1" w:rsidP="00D83115">
            <w:pPr>
              <w:jc w:val="both"/>
            </w:pPr>
            <w:r>
              <w:t>The Regional sector has a budgetary provision of N7</w:t>
            </w:r>
            <w:proofErr w:type="gramStart"/>
            <w:r>
              <w:t>,788,365,598.00</w:t>
            </w:r>
            <w:proofErr w:type="gramEnd"/>
            <w:r>
              <w:t xml:space="preserve"> from which the sum of N18,662,234.00 was expended from January to March 2020. The review brought down the figure to N5</w:t>
            </w:r>
            <w:proofErr w:type="gramStart"/>
            <w:r>
              <w:t>,145,656,184.10</w:t>
            </w:r>
            <w:proofErr w:type="gramEnd"/>
            <w:r>
              <w:t xml:space="preserve"> with about 40% dedicated to covid-19 response because the sector has impact on the environment.</w:t>
            </w:r>
          </w:p>
        </w:tc>
      </w:tr>
      <w:tr w:rsidR="00B027C1" w:rsidTr="00C8379A">
        <w:tc>
          <w:tcPr>
            <w:tcW w:w="720" w:type="dxa"/>
          </w:tcPr>
          <w:p w:rsidR="00B027C1" w:rsidRDefault="00B05D53">
            <w:r>
              <w:t>2.1J</w:t>
            </w:r>
          </w:p>
        </w:tc>
        <w:tc>
          <w:tcPr>
            <w:tcW w:w="2250" w:type="dxa"/>
          </w:tcPr>
          <w:p w:rsidR="00B027C1" w:rsidRDefault="00B027C1">
            <w:r>
              <w:t xml:space="preserve">Administration </w:t>
            </w:r>
          </w:p>
        </w:tc>
        <w:tc>
          <w:tcPr>
            <w:tcW w:w="7200" w:type="dxa"/>
          </w:tcPr>
          <w:p w:rsidR="00B027C1" w:rsidRDefault="00BA79D1" w:rsidP="00D83115">
            <w:pPr>
              <w:jc w:val="both"/>
            </w:pPr>
            <w:r>
              <w:t>This sector h</w:t>
            </w:r>
            <w:r w:rsidR="00B05D53">
              <w:t>as a provision of N11</w:t>
            </w:r>
            <w:proofErr w:type="gramStart"/>
            <w:r w:rsidR="00B05D53">
              <w:t>,087,093,695</w:t>
            </w:r>
            <w:r>
              <w:t>.00</w:t>
            </w:r>
            <w:proofErr w:type="gramEnd"/>
            <w:r>
              <w:t xml:space="preserve"> which</w:t>
            </w:r>
            <w:r w:rsidR="00B05D53">
              <w:t xml:space="preserve"> is reviewed to N7,766,965,586.50 with about 6</w:t>
            </w:r>
            <w:r>
              <w:t>% dedicated to covid-19 response.</w:t>
            </w:r>
          </w:p>
        </w:tc>
      </w:tr>
      <w:tr w:rsidR="00BA79D1" w:rsidTr="00C8379A">
        <w:tc>
          <w:tcPr>
            <w:tcW w:w="720" w:type="dxa"/>
          </w:tcPr>
          <w:p w:rsidR="00BA79D1" w:rsidRDefault="002668AE">
            <w:r>
              <w:t>2.2</w:t>
            </w:r>
          </w:p>
        </w:tc>
        <w:tc>
          <w:tcPr>
            <w:tcW w:w="2250" w:type="dxa"/>
          </w:tcPr>
          <w:p w:rsidR="00BA79D1" w:rsidRDefault="00BA79D1">
            <w:r>
              <w:t>Balances=(1+2-3)</w:t>
            </w:r>
          </w:p>
        </w:tc>
        <w:tc>
          <w:tcPr>
            <w:tcW w:w="7200" w:type="dxa"/>
          </w:tcPr>
          <w:p w:rsidR="00BA79D1" w:rsidRDefault="00BA79D1" w:rsidP="00D83115">
            <w:pPr>
              <w:jc w:val="both"/>
            </w:pPr>
            <w:r>
              <w:t xml:space="preserve">This is the sum of the revenue items (available balance) matched to the total expenditures </w:t>
            </w:r>
            <w:r w:rsidR="009C18CE">
              <w:t>to ascertain the financing gap.  In this case, the finance gap increased from N84</w:t>
            </w:r>
            <w:proofErr w:type="gramStart"/>
            <w:r w:rsidR="009C18CE">
              <w:t>,853,968,934.00</w:t>
            </w:r>
            <w:proofErr w:type="gramEnd"/>
            <w:r w:rsidR="009C18CE">
              <w:t xml:space="preserve"> to </w:t>
            </w:r>
            <w:r w:rsidR="002668AE">
              <w:t>N92,535,948,689.47</w:t>
            </w:r>
            <w:r w:rsidR="00C54FAD">
              <w:t>. T</w:t>
            </w:r>
            <w:r w:rsidR="009C18CE">
              <w:t xml:space="preserve">his arise as a </w:t>
            </w:r>
            <w:r w:rsidR="009C18CE">
              <w:lastRenderedPageBreak/>
              <w:t xml:space="preserve">result of the disproportionate reduction in the total revenue to the total expenditure.  </w:t>
            </w:r>
          </w:p>
          <w:p w:rsidR="00465680" w:rsidRDefault="00465680" w:rsidP="00D83115">
            <w:pPr>
              <w:jc w:val="both"/>
            </w:pPr>
          </w:p>
        </w:tc>
      </w:tr>
      <w:tr w:rsidR="008D71CC" w:rsidTr="00C8379A">
        <w:tc>
          <w:tcPr>
            <w:tcW w:w="720" w:type="dxa"/>
          </w:tcPr>
          <w:p w:rsidR="008D71CC" w:rsidRDefault="008D71CC">
            <w:r>
              <w:lastRenderedPageBreak/>
              <w:t>3.1</w:t>
            </w:r>
          </w:p>
        </w:tc>
        <w:tc>
          <w:tcPr>
            <w:tcW w:w="2250" w:type="dxa"/>
          </w:tcPr>
          <w:p w:rsidR="008D71CC" w:rsidRDefault="008D71CC">
            <w:r>
              <w:t xml:space="preserve">Financing/Internal Loan </w:t>
            </w:r>
          </w:p>
        </w:tc>
        <w:tc>
          <w:tcPr>
            <w:tcW w:w="7200" w:type="dxa"/>
          </w:tcPr>
          <w:p w:rsidR="008D71CC" w:rsidRDefault="008D71CC" w:rsidP="00D83115">
            <w:pPr>
              <w:jc w:val="both"/>
            </w:pPr>
            <w:r>
              <w:t xml:space="preserve">The credibility of the state’s ability to finance the deficit:- </w:t>
            </w:r>
          </w:p>
          <w:p w:rsidR="008D71CC" w:rsidRDefault="008D71CC" w:rsidP="00D83115">
            <w:pPr>
              <w:jc w:val="both"/>
            </w:pPr>
            <w:proofErr w:type="spellStart"/>
            <w:r>
              <w:t>i</w:t>
            </w:r>
            <w:proofErr w:type="spellEnd"/>
            <w:r>
              <w:t>. Going by the Debt Sustainability Analysis (DSA), the state is operating within the prescribed threshold.</w:t>
            </w:r>
          </w:p>
          <w:p w:rsidR="008D71CC" w:rsidRDefault="008D71CC" w:rsidP="00D83115">
            <w:pPr>
              <w:jc w:val="both"/>
            </w:pPr>
            <w:r>
              <w:t xml:space="preserve">ii. The state government has obtained permission through the legislature to access loans from commercial banks.  Agreements have been signed with some of these creditors and an Irrevocable Standing Payment Order (ISPO) with Access Bank is already in operation in funding some of these capital projects.  </w:t>
            </w:r>
          </w:p>
        </w:tc>
      </w:tr>
      <w:tr w:rsidR="008D71CC" w:rsidTr="00C8379A">
        <w:tc>
          <w:tcPr>
            <w:tcW w:w="720" w:type="dxa"/>
          </w:tcPr>
          <w:p w:rsidR="008D71CC" w:rsidRDefault="008D71CC">
            <w:r>
              <w:t>3.2</w:t>
            </w:r>
          </w:p>
        </w:tc>
        <w:tc>
          <w:tcPr>
            <w:tcW w:w="2250" w:type="dxa"/>
          </w:tcPr>
          <w:p w:rsidR="008D71CC" w:rsidRDefault="008D71CC">
            <w:r>
              <w:t>External Loan</w:t>
            </w:r>
          </w:p>
        </w:tc>
        <w:tc>
          <w:tcPr>
            <w:tcW w:w="7200" w:type="dxa"/>
          </w:tcPr>
          <w:p w:rsidR="008D71CC" w:rsidRDefault="008D71CC" w:rsidP="00D83115">
            <w:pPr>
              <w:jc w:val="both"/>
            </w:pPr>
            <w:r>
              <w:t xml:space="preserve">The State Government has also made commitment of funds to some World Bank Assisted Projects and </w:t>
            </w:r>
            <w:r w:rsidR="00510698">
              <w:t>other funds as matching grants.</w:t>
            </w:r>
            <w:r>
              <w:t xml:space="preserve"> Other commitment have also been made with external partners to supply farm inputs.  In the area of water supply, the African Development Bank have since being engaged in the provision of portable water in some urban centers of the state.</w:t>
            </w:r>
          </w:p>
        </w:tc>
      </w:tr>
      <w:tr w:rsidR="007C443D" w:rsidTr="00C8379A">
        <w:tc>
          <w:tcPr>
            <w:tcW w:w="720" w:type="dxa"/>
          </w:tcPr>
          <w:p w:rsidR="007C443D" w:rsidRDefault="007C443D"/>
        </w:tc>
        <w:tc>
          <w:tcPr>
            <w:tcW w:w="2250" w:type="dxa"/>
          </w:tcPr>
          <w:p w:rsidR="007C443D" w:rsidRDefault="007C443D">
            <w:r>
              <w:t>Covid-19 Responsive Expenditure (%) of the total expenditure</w:t>
            </w:r>
          </w:p>
        </w:tc>
        <w:tc>
          <w:tcPr>
            <w:tcW w:w="7200" w:type="dxa"/>
          </w:tcPr>
          <w:p w:rsidR="007C443D" w:rsidRDefault="007C443D" w:rsidP="00D83115">
            <w:pPr>
              <w:jc w:val="both"/>
            </w:pPr>
            <w:r>
              <w:t>The Covid-19 respo</w:t>
            </w:r>
            <w:r w:rsidR="005226ED">
              <w:t>nse has taken 11% of the Total E</w:t>
            </w:r>
            <w:r>
              <w:t xml:space="preserve">xpenditure of the revised budget </w:t>
            </w:r>
            <w:r w:rsidR="003E1452">
              <w:t xml:space="preserve">size </w:t>
            </w:r>
            <w:r>
              <w:t xml:space="preserve">and it cut across sector, bordering on </w:t>
            </w:r>
            <w:r w:rsidR="005226ED">
              <w:t xml:space="preserve">Crisis, </w:t>
            </w:r>
            <w:r>
              <w:t xml:space="preserve">Recovery, Mitigation, Livelihood and Palliative. </w:t>
            </w:r>
          </w:p>
        </w:tc>
      </w:tr>
    </w:tbl>
    <w:p w:rsidR="002B63D0" w:rsidRDefault="002B63D0"/>
    <w:sectPr w:rsidR="002B63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8A6" w:rsidRDefault="002A28A6" w:rsidP="001928B8">
      <w:pPr>
        <w:spacing w:after="0" w:line="240" w:lineRule="auto"/>
      </w:pPr>
      <w:r>
        <w:separator/>
      </w:r>
    </w:p>
  </w:endnote>
  <w:endnote w:type="continuationSeparator" w:id="0">
    <w:p w:rsidR="002A28A6" w:rsidRDefault="002A28A6" w:rsidP="00192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814989"/>
      <w:docPartObj>
        <w:docPartGallery w:val="Page Numbers (Bottom of Page)"/>
        <w:docPartUnique/>
      </w:docPartObj>
    </w:sdtPr>
    <w:sdtEndPr>
      <w:rPr>
        <w:noProof/>
      </w:rPr>
    </w:sdtEndPr>
    <w:sdtContent>
      <w:p w:rsidR="001928B8" w:rsidRDefault="001928B8">
        <w:pPr>
          <w:pStyle w:val="Footer"/>
          <w:jc w:val="right"/>
        </w:pPr>
        <w:r>
          <w:fldChar w:fldCharType="begin"/>
        </w:r>
        <w:r>
          <w:instrText xml:space="preserve"> PAGE   \* MERGEFORMAT </w:instrText>
        </w:r>
        <w:r>
          <w:fldChar w:fldCharType="separate"/>
        </w:r>
        <w:r w:rsidR="00E7147A">
          <w:rPr>
            <w:noProof/>
          </w:rPr>
          <w:t>4</w:t>
        </w:r>
        <w:r>
          <w:rPr>
            <w:noProof/>
          </w:rPr>
          <w:fldChar w:fldCharType="end"/>
        </w:r>
      </w:p>
    </w:sdtContent>
  </w:sdt>
  <w:p w:rsidR="001928B8" w:rsidRDefault="00192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8A6" w:rsidRDefault="002A28A6" w:rsidP="001928B8">
      <w:pPr>
        <w:spacing w:after="0" w:line="240" w:lineRule="auto"/>
      </w:pPr>
      <w:r>
        <w:separator/>
      </w:r>
    </w:p>
  </w:footnote>
  <w:footnote w:type="continuationSeparator" w:id="0">
    <w:p w:rsidR="002A28A6" w:rsidRDefault="002A28A6" w:rsidP="001928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C1A31"/>
    <w:multiLevelType w:val="hybridMultilevel"/>
    <w:tmpl w:val="C00AC32A"/>
    <w:lvl w:ilvl="0" w:tplc="515E03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3D0"/>
    <w:rsid w:val="00080CBC"/>
    <w:rsid w:val="000E08D6"/>
    <w:rsid w:val="000E387D"/>
    <w:rsid w:val="00124C2B"/>
    <w:rsid w:val="001928B8"/>
    <w:rsid w:val="001A7C45"/>
    <w:rsid w:val="001B014A"/>
    <w:rsid w:val="002668AE"/>
    <w:rsid w:val="002A28A6"/>
    <w:rsid w:val="002B63D0"/>
    <w:rsid w:val="002F0C73"/>
    <w:rsid w:val="002F2703"/>
    <w:rsid w:val="002F55C2"/>
    <w:rsid w:val="002F5658"/>
    <w:rsid w:val="00322D28"/>
    <w:rsid w:val="00360B5C"/>
    <w:rsid w:val="003866E8"/>
    <w:rsid w:val="003E1452"/>
    <w:rsid w:val="003F2B65"/>
    <w:rsid w:val="003F783A"/>
    <w:rsid w:val="00465680"/>
    <w:rsid w:val="004B3322"/>
    <w:rsid w:val="004E202C"/>
    <w:rsid w:val="00510698"/>
    <w:rsid w:val="005226ED"/>
    <w:rsid w:val="00534C18"/>
    <w:rsid w:val="005F6CEF"/>
    <w:rsid w:val="006B0B78"/>
    <w:rsid w:val="006B6345"/>
    <w:rsid w:val="006C3AC9"/>
    <w:rsid w:val="006E2AC0"/>
    <w:rsid w:val="007C443D"/>
    <w:rsid w:val="007F2874"/>
    <w:rsid w:val="00880C61"/>
    <w:rsid w:val="008A7959"/>
    <w:rsid w:val="008C3F3F"/>
    <w:rsid w:val="008D71CC"/>
    <w:rsid w:val="009217DA"/>
    <w:rsid w:val="009C18CE"/>
    <w:rsid w:val="009F5A3B"/>
    <w:rsid w:val="00A16BFC"/>
    <w:rsid w:val="00A57B40"/>
    <w:rsid w:val="00A94A76"/>
    <w:rsid w:val="00AC660D"/>
    <w:rsid w:val="00B027C1"/>
    <w:rsid w:val="00B05D53"/>
    <w:rsid w:val="00B32ADD"/>
    <w:rsid w:val="00B43845"/>
    <w:rsid w:val="00BA79D1"/>
    <w:rsid w:val="00BF5C3B"/>
    <w:rsid w:val="00C00586"/>
    <w:rsid w:val="00C54FAD"/>
    <w:rsid w:val="00C8379A"/>
    <w:rsid w:val="00D83115"/>
    <w:rsid w:val="00DC6D3F"/>
    <w:rsid w:val="00DD4132"/>
    <w:rsid w:val="00E31F8D"/>
    <w:rsid w:val="00E7147A"/>
    <w:rsid w:val="00EB5F10"/>
    <w:rsid w:val="00EE39AD"/>
    <w:rsid w:val="00F01E87"/>
    <w:rsid w:val="00F20D96"/>
    <w:rsid w:val="00FB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478EB-D512-4EB6-9717-F0BD6D55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66E8"/>
    <w:pPr>
      <w:ind w:left="720"/>
      <w:contextualSpacing/>
    </w:pPr>
  </w:style>
  <w:style w:type="paragraph" w:styleId="BalloonText">
    <w:name w:val="Balloon Text"/>
    <w:basedOn w:val="Normal"/>
    <w:link w:val="BalloonTextChar"/>
    <w:uiPriority w:val="99"/>
    <w:semiHidden/>
    <w:unhideWhenUsed/>
    <w:rsid w:val="00F20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D96"/>
    <w:rPr>
      <w:rFonts w:ascii="Segoe UI" w:hAnsi="Segoe UI" w:cs="Segoe UI"/>
      <w:sz w:val="18"/>
      <w:szCs w:val="18"/>
    </w:rPr>
  </w:style>
  <w:style w:type="paragraph" w:styleId="Header">
    <w:name w:val="header"/>
    <w:basedOn w:val="Normal"/>
    <w:link w:val="HeaderChar"/>
    <w:uiPriority w:val="99"/>
    <w:unhideWhenUsed/>
    <w:rsid w:val="00192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8B8"/>
  </w:style>
  <w:style w:type="paragraph" w:styleId="Footer">
    <w:name w:val="footer"/>
    <w:basedOn w:val="Normal"/>
    <w:link w:val="FooterChar"/>
    <w:uiPriority w:val="99"/>
    <w:unhideWhenUsed/>
    <w:rsid w:val="00192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8680F35D3048449BA7F79449FC3067" ma:contentTypeVersion="16" ma:contentTypeDescription="Create a new document." ma:contentTypeScope="" ma:versionID="1314980792e54c277159266822ceab35">
  <xsd:schema xmlns:xsd="http://www.w3.org/2001/XMLSchema" xmlns:xs="http://www.w3.org/2001/XMLSchema" xmlns:p="http://schemas.microsoft.com/office/2006/metadata/properties" xmlns:ns2="8f5dcca0-10ff-4782-af32-10385a2ff026" xmlns:ns3="e85c41ec-b639-4c08-9879-78df6b880abf" targetNamespace="http://schemas.microsoft.com/office/2006/metadata/properties" ma:root="true" ma:fieldsID="f71bda8009850bf15c537942ae819c84" ns2:_="" ns3:_="">
    <xsd:import namespace="8f5dcca0-10ff-4782-af32-10385a2ff026"/>
    <xsd:import namespace="e85c41ec-b639-4c08-9879-78df6b880a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dcca0-10ff-4782-af32-10385a2ff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2a0e5d-0563-416f-83a4-1ff71a5a96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5c41ec-b639-4c08-9879-78df6b880a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88a682-8b6d-4105-bae6-6a2d0c2110ea}" ma:internalName="TaxCatchAll" ma:showField="CatchAllData" ma:web="e85c41ec-b639-4c08-9879-78df6b880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85c41ec-b639-4c08-9879-78df6b880abf" xsi:nil="true"/>
    <lcf76f155ced4ddcb4097134ff3c332f xmlns="8f5dcca0-10ff-4782-af32-10385a2ff0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C4A90E-D63F-4B2B-98D0-05820E4EC5D3}"/>
</file>

<file path=customXml/itemProps2.xml><?xml version="1.0" encoding="utf-8"?>
<ds:datastoreItem xmlns:ds="http://schemas.openxmlformats.org/officeDocument/2006/customXml" ds:itemID="{454D0250-17C0-4337-8C51-88B0BA26DC54}"/>
</file>

<file path=customXml/itemProps3.xml><?xml version="1.0" encoding="utf-8"?>
<ds:datastoreItem xmlns:ds="http://schemas.openxmlformats.org/officeDocument/2006/customXml" ds:itemID="{E5EE0ABA-5114-48B2-8BB7-754F9BA178F0}"/>
</file>

<file path=docProps/app.xml><?xml version="1.0" encoding="utf-8"?>
<Properties xmlns="http://schemas.openxmlformats.org/officeDocument/2006/extended-properties" xmlns:vt="http://schemas.openxmlformats.org/officeDocument/2006/docPropsVTypes">
  <Template>Normal</Template>
  <TotalTime>544</TotalTime>
  <Pages>4</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28</cp:revision>
  <cp:lastPrinted>2020-07-14T12:09:00Z</cp:lastPrinted>
  <dcterms:created xsi:type="dcterms:W3CDTF">2020-07-14T02:52:00Z</dcterms:created>
  <dcterms:modified xsi:type="dcterms:W3CDTF">2020-07-16T10:29:00Z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0x010100378680F35D3048449BA7F79449FC3067</vt:lpwstr>
  </property>
</Properties>
</file>