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ED" w:rsidRPr="00CF7DED" w:rsidRDefault="00CF7DED" w:rsidP="002653E3">
      <w:pPr>
        <w:pStyle w:val="NoSpacing"/>
        <w:jc w:val="center"/>
        <w:rPr>
          <w:rFonts w:ascii="Arial Narrow" w:hAnsi="Arial Narrow"/>
          <w:b/>
          <w:sz w:val="32"/>
          <w:szCs w:val="32"/>
        </w:rPr>
      </w:pPr>
      <w:r w:rsidRPr="00CF7DED">
        <w:rPr>
          <w:rFonts w:ascii="Arial Narrow" w:hAnsi="Arial Narrow"/>
          <w:b/>
          <w:sz w:val="32"/>
          <w:szCs w:val="32"/>
        </w:rPr>
        <w:t>INNOVATE OR PERISH</w:t>
      </w:r>
      <w:r w:rsidR="003778A4">
        <w:rPr>
          <w:rFonts w:ascii="Arial Narrow" w:hAnsi="Arial Narrow"/>
          <w:b/>
          <w:sz w:val="32"/>
          <w:szCs w:val="32"/>
        </w:rPr>
        <w:t>:</w:t>
      </w:r>
      <w:r w:rsidRPr="00CF7DED">
        <w:rPr>
          <w:rFonts w:ascii="Arial Narrow" w:hAnsi="Arial Narrow"/>
          <w:b/>
          <w:sz w:val="32"/>
          <w:szCs w:val="32"/>
        </w:rPr>
        <w:t xml:space="preserve"> BUILDING INTERNALLY GENERATED REVENUE</w:t>
      </w:r>
    </w:p>
    <w:p w:rsidR="00CF7DED" w:rsidRPr="00CF7DED" w:rsidRDefault="00CF7DED" w:rsidP="002653E3">
      <w:pPr>
        <w:pStyle w:val="NoSpacing"/>
        <w:jc w:val="center"/>
        <w:rPr>
          <w:rFonts w:ascii="Arial Narrow" w:hAnsi="Arial Narrow"/>
          <w:b/>
          <w:sz w:val="32"/>
          <w:szCs w:val="32"/>
        </w:rPr>
      </w:pPr>
      <w:r w:rsidRPr="00CF7DED">
        <w:rPr>
          <w:rFonts w:ascii="Arial Narrow" w:hAnsi="Arial Narrow"/>
          <w:b/>
          <w:sz w:val="32"/>
          <w:szCs w:val="32"/>
        </w:rPr>
        <w:t>THROUGH ECONOMIC GROWTH AND DEVELOPMENT – LESSONS FROM</w:t>
      </w:r>
    </w:p>
    <w:p w:rsidR="00CF7DED" w:rsidRPr="00CF7DED" w:rsidRDefault="00CF7DED" w:rsidP="002653E3">
      <w:pPr>
        <w:pStyle w:val="NoSpacing"/>
        <w:jc w:val="center"/>
        <w:rPr>
          <w:rFonts w:ascii="Arial Narrow" w:hAnsi="Arial Narrow" w:cs="Andalus"/>
          <w:b/>
          <w:sz w:val="32"/>
          <w:szCs w:val="32"/>
        </w:rPr>
      </w:pPr>
      <w:r w:rsidRPr="00CF7DED">
        <w:rPr>
          <w:rFonts w:ascii="Arial Narrow" w:hAnsi="Arial Narrow"/>
          <w:b/>
          <w:sz w:val="32"/>
          <w:szCs w:val="32"/>
        </w:rPr>
        <w:t>CROSS RIVER STATE</w:t>
      </w:r>
    </w:p>
    <w:p w:rsidR="005B7624" w:rsidRDefault="005B7624" w:rsidP="002653E3">
      <w:pPr>
        <w:pStyle w:val="NoSpacing"/>
        <w:jc w:val="center"/>
        <w:rPr>
          <w:rFonts w:ascii="Arial Narrow" w:hAnsi="Arial Narrow" w:cs="Andalus"/>
          <w:b/>
          <w:sz w:val="36"/>
          <w:szCs w:val="32"/>
        </w:rPr>
      </w:pPr>
    </w:p>
    <w:p w:rsidR="005B7624" w:rsidRPr="00CF7DED" w:rsidRDefault="005B7624" w:rsidP="002653E3">
      <w:pPr>
        <w:pStyle w:val="NoSpacing"/>
        <w:jc w:val="center"/>
        <w:rPr>
          <w:rFonts w:ascii="Arial Narrow" w:hAnsi="Arial Narrow" w:cs="Andalus"/>
          <w:b/>
          <w:sz w:val="36"/>
          <w:szCs w:val="32"/>
        </w:rPr>
      </w:pPr>
    </w:p>
    <w:p w:rsidR="00CF7DED" w:rsidRDefault="00CF7DED" w:rsidP="002653E3">
      <w:pPr>
        <w:pStyle w:val="NoSpacing"/>
        <w:jc w:val="center"/>
        <w:rPr>
          <w:rFonts w:ascii="Arial Narrow" w:hAnsi="Arial Narrow" w:cs="Andalus"/>
          <w:b/>
          <w:sz w:val="36"/>
          <w:szCs w:val="32"/>
        </w:rPr>
      </w:pPr>
    </w:p>
    <w:p w:rsidR="00F80C0A" w:rsidRPr="00CF7DED" w:rsidRDefault="00F80C0A" w:rsidP="002653E3">
      <w:pPr>
        <w:pStyle w:val="NoSpacing"/>
        <w:jc w:val="center"/>
        <w:rPr>
          <w:rFonts w:ascii="Arial Narrow" w:hAnsi="Arial Narrow" w:cs="Andalus"/>
          <w:b/>
          <w:sz w:val="36"/>
          <w:szCs w:val="32"/>
        </w:rPr>
      </w:pPr>
    </w:p>
    <w:p w:rsidR="00CF7DED" w:rsidRPr="00CF7DED" w:rsidRDefault="00CF7DED" w:rsidP="002653E3">
      <w:pPr>
        <w:pStyle w:val="NoSpacing"/>
        <w:jc w:val="center"/>
        <w:rPr>
          <w:rFonts w:ascii="Arial Narrow" w:hAnsi="Arial Narrow" w:cs="Andalus"/>
          <w:b/>
          <w:sz w:val="36"/>
          <w:szCs w:val="32"/>
        </w:rPr>
      </w:pPr>
      <w:r w:rsidRPr="00CF7DED">
        <w:rPr>
          <w:rFonts w:ascii="Arial Narrow" w:hAnsi="Arial Narrow" w:cs="Andalus"/>
          <w:b/>
          <w:sz w:val="36"/>
          <w:szCs w:val="32"/>
        </w:rPr>
        <w:t>PRESENTED BY</w:t>
      </w:r>
    </w:p>
    <w:p w:rsidR="00CF7DED" w:rsidRDefault="00CF7DED" w:rsidP="002653E3">
      <w:pPr>
        <w:pStyle w:val="NoSpacing"/>
        <w:jc w:val="center"/>
        <w:rPr>
          <w:rFonts w:ascii="Arial Narrow" w:hAnsi="Arial Narrow" w:cs="Andalus"/>
          <w:b/>
          <w:sz w:val="36"/>
          <w:szCs w:val="32"/>
        </w:rPr>
      </w:pPr>
    </w:p>
    <w:p w:rsidR="00F80C0A" w:rsidRDefault="00F80C0A" w:rsidP="002653E3">
      <w:pPr>
        <w:pStyle w:val="NoSpacing"/>
        <w:jc w:val="center"/>
        <w:rPr>
          <w:rFonts w:ascii="Arial Narrow" w:hAnsi="Arial Narrow" w:cs="Andalus"/>
          <w:b/>
          <w:sz w:val="36"/>
          <w:szCs w:val="32"/>
        </w:rPr>
      </w:pPr>
    </w:p>
    <w:p w:rsidR="00F80C0A" w:rsidRDefault="00F80C0A" w:rsidP="002653E3">
      <w:pPr>
        <w:pStyle w:val="NoSpacing"/>
        <w:jc w:val="center"/>
        <w:rPr>
          <w:rFonts w:ascii="Arial Narrow" w:hAnsi="Arial Narrow" w:cs="Andalus"/>
          <w:b/>
          <w:sz w:val="36"/>
          <w:szCs w:val="32"/>
        </w:rPr>
      </w:pPr>
    </w:p>
    <w:p w:rsidR="005B7624" w:rsidRDefault="005B7624" w:rsidP="002653E3">
      <w:pPr>
        <w:pStyle w:val="NoSpacing"/>
        <w:jc w:val="center"/>
        <w:rPr>
          <w:rFonts w:ascii="Arial Narrow" w:hAnsi="Arial Narrow" w:cs="Andalus"/>
          <w:b/>
          <w:sz w:val="36"/>
          <w:szCs w:val="32"/>
        </w:rPr>
      </w:pPr>
    </w:p>
    <w:p w:rsidR="005B7624" w:rsidRPr="00CF7DED" w:rsidRDefault="005B7624" w:rsidP="002653E3">
      <w:pPr>
        <w:pStyle w:val="NoSpacing"/>
        <w:jc w:val="center"/>
        <w:rPr>
          <w:rFonts w:ascii="Arial Narrow" w:hAnsi="Arial Narrow" w:cs="Andalus"/>
          <w:b/>
          <w:sz w:val="36"/>
          <w:szCs w:val="32"/>
        </w:rPr>
      </w:pPr>
    </w:p>
    <w:p w:rsidR="00CF7DED" w:rsidRPr="00CF7DED" w:rsidRDefault="00CF7DED" w:rsidP="002653E3">
      <w:pPr>
        <w:pStyle w:val="NoSpacing"/>
        <w:jc w:val="center"/>
        <w:rPr>
          <w:rFonts w:ascii="Arial Narrow" w:hAnsi="Arial Narrow" w:cs="Andalus"/>
          <w:b/>
          <w:sz w:val="36"/>
          <w:szCs w:val="32"/>
        </w:rPr>
      </w:pPr>
    </w:p>
    <w:p w:rsidR="00CF7DED" w:rsidRPr="00CF7DED" w:rsidRDefault="00CF7DED" w:rsidP="002653E3">
      <w:pPr>
        <w:pStyle w:val="NoSpacing"/>
        <w:jc w:val="center"/>
        <w:rPr>
          <w:rFonts w:ascii="Arial Narrow" w:hAnsi="Arial Narrow" w:cs="Andalus"/>
          <w:b/>
          <w:sz w:val="36"/>
          <w:szCs w:val="32"/>
        </w:rPr>
      </w:pPr>
    </w:p>
    <w:p w:rsidR="00CF7DED" w:rsidRPr="00CF7DED" w:rsidRDefault="00CF7DED" w:rsidP="002653E3">
      <w:pPr>
        <w:pStyle w:val="NoSpacing"/>
        <w:jc w:val="center"/>
        <w:rPr>
          <w:rFonts w:ascii="Arial Narrow" w:hAnsi="Arial Narrow" w:cs="Andalus"/>
          <w:b/>
          <w:sz w:val="36"/>
          <w:szCs w:val="32"/>
        </w:rPr>
      </w:pPr>
      <w:r w:rsidRPr="00CF7DED">
        <w:rPr>
          <w:rFonts w:ascii="Arial Narrow" w:hAnsi="Arial Narrow" w:cs="Andalus"/>
          <w:b/>
          <w:sz w:val="36"/>
          <w:szCs w:val="32"/>
        </w:rPr>
        <w:t>HIS EXCELLENCY</w:t>
      </w:r>
    </w:p>
    <w:p w:rsidR="00CF7DED" w:rsidRPr="00CF7DED" w:rsidRDefault="00CF7DED" w:rsidP="002653E3">
      <w:pPr>
        <w:pStyle w:val="NoSpacing"/>
        <w:jc w:val="center"/>
        <w:rPr>
          <w:rFonts w:ascii="Arial Narrow" w:hAnsi="Arial Narrow" w:cs="Andalus"/>
          <w:b/>
          <w:sz w:val="36"/>
          <w:szCs w:val="32"/>
        </w:rPr>
      </w:pPr>
      <w:r w:rsidRPr="00CF7DED">
        <w:rPr>
          <w:rFonts w:ascii="Arial Narrow" w:hAnsi="Arial Narrow" w:cs="Andalus"/>
          <w:b/>
          <w:sz w:val="36"/>
          <w:szCs w:val="32"/>
        </w:rPr>
        <w:t>SENATOR LIYEL IMOKE</w:t>
      </w:r>
    </w:p>
    <w:p w:rsidR="00CF7DED" w:rsidRPr="00CF7DED" w:rsidRDefault="00CF7DED" w:rsidP="002653E3">
      <w:pPr>
        <w:pStyle w:val="NoSpacing"/>
        <w:jc w:val="center"/>
        <w:rPr>
          <w:rFonts w:ascii="Arial Narrow" w:hAnsi="Arial Narrow" w:cs="Andalus"/>
          <w:b/>
          <w:sz w:val="36"/>
          <w:szCs w:val="32"/>
        </w:rPr>
      </w:pPr>
      <w:r w:rsidRPr="00CF7DED">
        <w:rPr>
          <w:rFonts w:ascii="Arial Narrow" w:hAnsi="Arial Narrow" w:cs="Andalus"/>
          <w:b/>
          <w:sz w:val="36"/>
          <w:szCs w:val="32"/>
        </w:rPr>
        <w:t>GOVERNOR, CROSS RIVER STATE</w:t>
      </w:r>
    </w:p>
    <w:p w:rsidR="00CF7DED" w:rsidRPr="00CF7DED" w:rsidRDefault="00CF7DED" w:rsidP="002653E3">
      <w:pPr>
        <w:pStyle w:val="NoSpacing"/>
        <w:jc w:val="center"/>
        <w:rPr>
          <w:rFonts w:ascii="Arial Narrow" w:hAnsi="Arial Narrow" w:cs="Andalus"/>
          <w:b/>
          <w:sz w:val="36"/>
          <w:szCs w:val="32"/>
        </w:rPr>
      </w:pPr>
    </w:p>
    <w:p w:rsidR="00CF7DED" w:rsidRPr="00CF7DED" w:rsidRDefault="00CF7DED" w:rsidP="002653E3">
      <w:pPr>
        <w:pStyle w:val="NoSpacing"/>
        <w:jc w:val="center"/>
        <w:rPr>
          <w:rFonts w:ascii="Arial Narrow" w:hAnsi="Arial Narrow" w:cs="Andalus"/>
          <w:b/>
          <w:sz w:val="36"/>
          <w:szCs w:val="32"/>
        </w:rPr>
      </w:pPr>
    </w:p>
    <w:p w:rsidR="00CF7DED" w:rsidRDefault="00CF7DED" w:rsidP="002653E3">
      <w:pPr>
        <w:pStyle w:val="NoSpacing"/>
        <w:jc w:val="center"/>
        <w:rPr>
          <w:rFonts w:ascii="Arial Narrow" w:hAnsi="Arial Narrow" w:cs="Andalus"/>
          <w:b/>
          <w:sz w:val="36"/>
          <w:szCs w:val="32"/>
        </w:rPr>
      </w:pPr>
    </w:p>
    <w:p w:rsidR="005B7624" w:rsidRDefault="005B7624" w:rsidP="002653E3">
      <w:pPr>
        <w:pStyle w:val="NoSpacing"/>
        <w:jc w:val="center"/>
        <w:rPr>
          <w:rFonts w:ascii="Arial Narrow" w:hAnsi="Arial Narrow" w:cs="Andalus"/>
          <w:b/>
          <w:sz w:val="36"/>
          <w:szCs w:val="32"/>
        </w:rPr>
      </w:pPr>
    </w:p>
    <w:p w:rsidR="005B7624" w:rsidRDefault="005B7624" w:rsidP="002653E3">
      <w:pPr>
        <w:pStyle w:val="NoSpacing"/>
        <w:jc w:val="center"/>
        <w:rPr>
          <w:rFonts w:ascii="Arial Narrow" w:hAnsi="Arial Narrow" w:cs="Andalus"/>
          <w:b/>
          <w:sz w:val="36"/>
          <w:szCs w:val="32"/>
        </w:rPr>
      </w:pPr>
    </w:p>
    <w:p w:rsidR="005B7624" w:rsidRDefault="005B7624" w:rsidP="002653E3">
      <w:pPr>
        <w:pStyle w:val="NoSpacing"/>
        <w:jc w:val="center"/>
        <w:rPr>
          <w:rFonts w:ascii="Arial Narrow" w:hAnsi="Arial Narrow" w:cs="Andalus"/>
          <w:b/>
          <w:sz w:val="36"/>
          <w:szCs w:val="32"/>
        </w:rPr>
      </w:pPr>
    </w:p>
    <w:p w:rsidR="00F80C0A" w:rsidRDefault="00F80C0A" w:rsidP="002653E3">
      <w:pPr>
        <w:pStyle w:val="NoSpacing"/>
        <w:jc w:val="center"/>
        <w:rPr>
          <w:rFonts w:ascii="Arial Narrow" w:hAnsi="Arial Narrow" w:cs="Andalus"/>
          <w:b/>
          <w:sz w:val="36"/>
          <w:szCs w:val="32"/>
        </w:rPr>
      </w:pPr>
    </w:p>
    <w:p w:rsidR="005B7624" w:rsidRPr="005B7624" w:rsidRDefault="005B7624" w:rsidP="002653E3">
      <w:pPr>
        <w:pStyle w:val="NoSpacing"/>
        <w:jc w:val="center"/>
        <w:rPr>
          <w:rFonts w:ascii="Arial Narrow" w:hAnsi="Arial Narrow" w:cs="Andalus"/>
          <w:sz w:val="32"/>
          <w:szCs w:val="32"/>
        </w:rPr>
      </w:pPr>
    </w:p>
    <w:p w:rsidR="00CF7DED" w:rsidRPr="005B7624" w:rsidRDefault="00CF7DED" w:rsidP="002653E3">
      <w:pPr>
        <w:pStyle w:val="NoSpacing"/>
        <w:jc w:val="center"/>
        <w:rPr>
          <w:rFonts w:ascii="Arial Narrow" w:hAnsi="Arial Narrow" w:cs="Andalus"/>
          <w:sz w:val="36"/>
          <w:szCs w:val="32"/>
        </w:rPr>
      </w:pPr>
      <w:proofErr w:type="gramStart"/>
      <w:r w:rsidRPr="005B7624">
        <w:rPr>
          <w:rFonts w:ascii="Arial Narrow" w:hAnsi="Arial Narrow" w:cs="Andalus"/>
          <w:sz w:val="28"/>
          <w:szCs w:val="32"/>
        </w:rPr>
        <w:t>During the 1st National Round-Table Strategy Session on Internally Generated Revenue on Monday 16</w:t>
      </w:r>
      <w:r w:rsidRPr="005B7624">
        <w:rPr>
          <w:rFonts w:ascii="Arial Narrow" w:hAnsi="Arial Narrow" w:cs="Andalus"/>
          <w:sz w:val="28"/>
          <w:szCs w:val="32"/>
          <w:vertAlign w:val="superscript"/>
        </w:rPr>
        <w:t>th</w:t>
      </w:r>
      <w:r w:rsidRPr="005B7624">
        <w:rPr>
          <w:rFonts w:ascii="Arial Narrow" w:hAnsi="Arial Narrow" w:cs="Andalus"/>
          <w:sz w:val="28"/>
          <w:szCs w:val="32"/>
        </w:rPr>
        <w:t xml:space="preserve"> November, 2009 at the International Conference Centre, Abuja</w:t>
      </w:r>
      <w:r w:rsidR="0048311E">
        <w:rPr>
          <w:rFonts w:ascii="Arial Narrow" w:hAnsi="Arial Narrow" w:cs="Andalus"/>
          <w:sz w:val="28"/>
          <w:szCs w:val="32"/>
        </w:rPr>
        <w:t>.</w:t>
      </w:r>
      <w:proofErr w:type="gramEnd"/>
    </w:p>
    <w:p w:rsidR="00CF7DED" w:rsidRPr="005B7624" w:rsidRDefault="00CF7DED" w:rsidP="002653E3">
      <w:pPr>
        <w:suppressAutoHyphens w:val="0"/>
        <w:spacing w:line="240" w:lineRule="auto"/>
        <w:jc w:val="both"/>
        <w:rPr>
          <w:rFonts w:ascii="Arial Narrow" w:hAnsi="Arial Narrow" w:cs="Arial"/>
          <w:sz w:val="32"/>
          <w:szCs w:val="32"/>
        </w:rPr>
      </w:pPr>
      <w:r w:rsidRPr="005B7624">
        <w:rPr>
          <w:rFonts w:ascii="Arial Narrow" w:hAnsi="Arial Narrow" w:cs="Arial"/>
          <w:sz w:val="32"/>
          <w:szCs w:val="32"/>
        </w:rPr>
        <w:br w:type="page"/>
      </w:r>
    </w:p>
    <w:p w:rsidR="00806668" w:rsidRPr="005B7624" w:rsidRDefault="00806668" w:rsidP="005B7624">
      <w:pPr>
        <w:spacing w:after="0" w:line="240" w:lineRule="auto"/>
        <w:jc w:val="center"/>
        <w:rPr>
          <w:rFonts w:ascii="Arial" w:hAnsi="Arial" w:cs="Arial"/>
          <w:b/>
          <w:sz w:val="28"/>
          <w:szCs w:val="24"/>
        </w:rPr>
      </w:pPr>
      <w:r w:rsidRPr="005B7624">
        <w:rPr>
          <w:rFonts w:ascii="Arial" w:hAnsi="Arial" w:cs="Arial"/>
          <w:b/>
          <w:sz w:val="28"/>
          <w:szCs w:val="24"/>
        </w:rPr>
        <w:lastRenderedPageBreak/>
        <w:t>INNOVATE OR PERISH: BUILDING INTERNALLY GENERATED REVENUE THROUGH ECONOMIC GROWTH AND DEVELOPMENT – LESSONS FROM CROSS RIVER STATE</w:t>
      </w:r>
    </w:p>
    <w:p w:rsidR="00806668" w:rsidRDefault="00806668" w:rsidP="002653E3">
      <w:pPr>
        <w:spacing w:after="0" w:line="240" w:lineRule="auto"/>
        <w:rPr>
          <w:rFonts w:ascii="Arial" w:hAnsi="Arial" w:cs="Arial"/>
          <w:b/>
          <w:sz w:val="24"/>
          <w:szCs w:val="24"/>
        </w:rPr>
      </w:pPr>
    </w:p>
    <w:p w:rsidR="00221C51" w:rsidRDefault="00221C51" w:rsidP="002653E3">
      <w:pPr>
        <w:spacing w:after="0" w:line="240" w:lineRule="auto"/>
        <w:rPr>
          <w:rFonts w:ascii="Arial" w:hAnsi="Arial" w:cs="Arial"/>
          <w:b/>
          <w:sz w:val="24"/>
          <w:szCs w:val="24"/>
        </w:rPr>
      </w:pPr>
    </w:p>
    <w:p w:rsidR="00806668" w:rsidRPr="00C17F99" w:rsidRDefault="0048311E" w:rsidP="002653E3">
      <w:pPr>
        <w:spacing w:after="0" w:line="240" w:lineRule="auto"/>
        <w:rPr>
          <w:rFonts w:ascii="Arial Narrow" w:hAnsi="Arial Narrow" w:cs="Arial"/>
          <w:b/>
          <w:sz w:val="24"/>
          <w:szCs w:val="24"/>
        </w:rPr>
      </w:pPr>
      <w:r>
        <w:rPr>
          <w:rFonts w:ascii="Arial Narrow" w:hAnsi="Arial Narrow" w:cs="Arial"/>
          <w:b/>
          <w:sz w:val="24"/>
          <w:szCs w:val="24"/>
        </w:rPr>
        <w:t>1.</w:t>
      </w:r>
      <w:r>
        <w:rPr>
          <w:rFonts w:ascii="Arial Narrow" w:hAnsi="Arial Narrow" w:cs="Arial"/>
          <w:b/>
          <w:sz w:val="24"/>
          <w:szCs w:val="24"/>
        </w:rPr>
        <w:tab/>
      </w:r>
      <w:r w:rsidR="005B7624" w:rsidRPr="00C17F99">
        <w:rPr>
          <w:rFonts w:ascii="Arial Narrow" w:hAnsi="Arial Narrow" w:cs="Arial"/>
          <w:b/>
          <w:sz w:val="24"/>
          <w:szCs w:val="24"/>
        </w:rPr>
        <w:t>INTRODUCTION</w:t>
      </w:r>
    </w:p>
    <w:p w:rsidR="00806668" w:rsidRPr="0087780B" w:rsidRDefault="00806668" w:rsidP="002653E3">
      <w:pPr>
        <w:spacing w:after="0" w:line="240" w:lineRule="auto"/>
        <w:rPr>
          <w:rFonts w:ascii="Arial Narrow" w:hAnsi="Arial Narrow" w:cs="Arial"/>
          <w:sz w:val="24"/>
          <w:szCs w:val="24"/>
        </w:rPr>
      </w:pPr>
    </w:p>
    <w:p w:rsidR="00221C51" w:rsidRPr="0087780B" w:rsidRDefault="002653E3" w:rsidP="00F80C0A">
      <w:pPr>
        <w:pStyle w:val="NoSpacing"/>
        <w:jc w:val="both"/>
        <w:rPr>
          <w:rFonts w:ascii="Arial Narrow" w:hAnsi="Arial Narrow" w:cs="Arial"/>
          <w:sz w:val="24"/>
          <w:szCs w:val="24"/>
        </w:rPr>
      </w:pPr>
      <w:r w:rsidRPr="0087780B">
        <w:rPr>
          <w:rFonts w:ascii="Arial Narrow" w:hAnsi="Arial Narrow" w:cs="Arial"/>
          <w:sz w:val="24"/>
          <w:szCs w:val="24"/>
        </w:rPr>
        <w:t>Revenue i</w:t>
      </w:r>
      <w:r w:rsidR="00221C51" w:rsidRPr="0087780B">
        <w:rPr>
          <w:rFonts w:ascii="Arial Narrow" w:hAnsi="Arial Narrow" w:cs="Arial"/>
          <w:sz w:val="24"/>
          <w:szCs w:val="24"/>
        </w:rPr>
        <w:t xml:space="preserve">n Nigeria was introduced before the advent of the colonial masters. </w:t>
      </w:r>
      <w:r w:rsidRPr="0087780B">
        <w:rPr>
          <w:rFonts w:ascii="Arial Narrow" w:hAnsi="Arial Narrow" w:cs="Arial"/>
          <w:sz w:val="24"/>
          <w:szCs w:val="24"/>
        </w:rPr>
        <w:t>Then,</w:t>
      </w:r>
      <w:r w:rsidR="00221C51" w:rsidRPr="0087780B">
        <w:rPr>
          <w:rFonts w:ascii="Arial Narrow" w:hAnsi="Arial Narrow" w:cs="Arial"/>
          <w:sz w:val="24"/>
          <w:szCs w:val="24"/>
        </w:rPr>
        <w:t xml:space="preserve"> </w:t>
      </w:r>
      <w:r w:rsidRPr="0087780B">
        <w:rPr>
          <w:rFonts w:ascii="Arial Narrow" w:hAnsi="Arial Narrow" w:cs="Arial"/>
          <w:sz w:val="24"/>
          <w:szCs w:val="24"/>
        </w:rPr>
        <w:t>t</w:t>
      </w:r>
      <w:r w:rsidR="00221C51" w:rsidRPr="0087780B">
        <w:rPr>
          <w:rFonts w:ascii="Arial Narrow" w:hAnsi="Arial Narrow" w:cs="Arial"/>
          <w:sz w:val="24"/>
          <w:szCs w:val="24"/>
        </w:rPr>
        <w:t>axes were in the form of farm produce for the sustenance of traditional rulers and community soldiers as an unwritten norms and tradition of the people.</w:t>
      </w:r>
      <w:r w:rsidRPr="0087780B">
        <w:rPr>
          <w:rFonts w:ascii="Arial Narrow" w:hAnsi="Arial Narrow" w:cs="Arial"/>
          <w:sz w:val="24"/>
          <w:szCs w:val="24"/>
        </w:rPr>
        <w:t xml:space="preserve"> </w:t>
      </w:r>
      <w:r w:rsidR="00221C51" w:rsidRPr="0087780B">
        <w:rPr>
          <w:rFonts w:ascii="Arial Narrow" w:hAnsi="Arial Narrow" w:cs="Arial"/>
          <w:sz w:val="24"/>
          <w:szCs w:val="24"/>
        </w:rPr>
        <w:t>After independence, precisely 1961, a more organized tax reform was carried out, which led to the enactment of Income Tax Management Act (ITMA).  Further reforms were carried out culminating in the Personal Income Tax Act (PITA) of 1993 as amended.  Prior to the discovery of crude oil, Nigeria depended largely on taxes and exports of its primary produce to finance the developmental programmes.  But with the discovery of oil in the 70’s emphasis was shifted from Agriculture to petrodollars with  all its price uncertainties in the world market,  it became imperative that we must look in-wards to generate the much needed revenue to sustain the burgeoning bureaucracy and finance developmental programmes at all levels of government.</w:t>
      </w:r>
    </w:p>
    <w:p w:rsidR="002653E3" w:rsidRPr="0087780B" w:rsidRDefault="002653E3" w:rsidP="00F80C0A">
      <w:pPr>
        <w:suppressAutoHyphens w:val="0"/>
        <w:spacing w:line="240" w:lineRule="auto"/>
        <w:jc w:val="both"/>
        <w:rPr>
          <w:rFonts w:ascii="Arial Narrow" w:hAnsi="Arial Narrow" w:cs="Arial"/>
          <w:sz w:val="24"/>
          <w:szCs w:val="24"/>
        </w:rPr>
      </w:pPr>
    </w:p>
    <w:p w:rsidR="00007EDA" w:rsidRPr="0087780B" w:rsidRDefault="00007EDA" w:rsidP="0087780B">
      <w:pPr>
        <w:spacing w:after="0" w:line="240" w:lineRule="auto"/>
        <w:jc w:val="both"/>
        <w:rPr>
          <w:rFonts w:ascii="Arial Narrow" w:hAnsi="Arial Narrow" w:cs="Arial"/>
          <w:sz w:val="24"/>
          <w:szCs w:val="24"/>
        </w:rPr>
      </w:pPr>
      <w:r w:rsidRPr="0087780B">
        <w:rPr>
          <w:rFonts w:ascii="Arial Narrow" w:hAnsi="Arial Narrow" w:cs="Arial"/>
          <w:sz w:val="24"/>
          <w:szCs w:val="24"/>
        </w:rPr>
        <w:t xml:space="preserve">With the global economic crisis, Nigeria </w:t>
      </w:r>
      <w:r w:rsidR="005009C0">
        <w:rPr>
          <w:rFonts w:ascii="Arial Narrow" w:hAnsi="Arial Narrow" w:cs="Arial"/>
          <w:sz w:val="24"/>
          <w:szCs w:val="24"/>
        </w:rPr>
        <w:t>is facing a significant</w:t>
      </w:r>
      <w:r w:rsidRPr="0087780B">
        <w:rPr>
          <w:rFonts w:ascii="Arial Narrow" w:hAnsi="Arial Narrow" w:cs="Arial"/>
          <w:sz w:val="24"/>
          <w:szCs w:val="24"/>
        </w:rPr>
        <w:t xml:space="preserve"> challenge that is affecting the economy through decreased international financial flows – direct foreign investment, private foreign lines of credit, and remittances – as well as lower price of oil, which has a large impact on Nigeria’s trade and fiscal balances. Cross River State as the fastest growing economy in Nigeria is not an exception to the consequences of the global economic meltdown on the State economy.</w:t>
      </w:r>
    </w:p>
    <w:p w:rsidR="00007EDA" w:rsidRPr="0087780B" w:rsidRDefault="00007EDA" w:rsidP="0087780B">
      <w:pPr>
        <w:spacing w:after="0" w:line="240" w:lineRule="auto"/>
        <w:jc w:val="both"/>
        <w:rPr>
          <w:rFonts w:ascii="Arial Narrow" w:hAnsi="Arial Narrow" w:cs="Arial"/>
          <w:sz w:val="24"/>
          <w:szCs w:val="24"/>
        </w:rPr>
      </w:pPr>
    </w:p>
    <w:p w:rsidR="00D773CE" w:rsidRPr="00C17F99" w:rsidRDefault="00D773CE" w:rsidP="00AF0BF7">
      <w:pPr>
        <w:suppressAutoHyphens w:val="0"/>
        <w:autoSpaceDE w:val="0"/>
        <w:autoSpaceDN w:val="0"/>
        <w:adjustRightInd w:val="0"/>
        <w:spacing w:after="0" w:line="240" w:lineRule="auto"/>
        <w:jc w:val="both"/>
        <w:rPr>
          <w:rFonts w:ascii="Arial Narrow" w:hAnsi="Arial Narrow" w:cs="Arial"/>
          <w:sz w:val="24"/>
          <w:szCs w:val="24"/>
        </w:rPr>
      </w:pPr>
      <w:r w:rsidRPr="0087780B">
        <w:rPr>
          <w:rFonts w:ascii="Arial Narrow" w:eastAsiaTheme="minorHAnsi" w:hAnsi="Arial Narrow" w:cs="Times New Roman"/>
          <w:sz w:val="24"/>
          <w:szCs w:val="24"/>
          <w:lang w:eastAsia="en-US"/>
        </w:rPr>
        <w:t>The increasing cost of running government coupled with dwindling revenue has left various state</w:t>
      </w:r>
      <w:r w:rsidR="005009C0">
        <w:rPr>
          <w:rFonts w:ascii="Arial Narrow" w:eastAsiaTheme="minorHAnsi" w:hAnsi="Arial Narrow" w:cs="Times New Roman"/>
          <w:sz w:val="24"/>
          <w:szCs w:val="24"/>
          <w:lang w:eastAsia="en-US"/>
        </w:rPr>
        <w:t xml:space="preserve"> </w:t>
      </w:r>
      <w:r w:rsidRPr="0087780B">
        <w:rPr>
          <w:rFonts w:ascii="Arial Narrow" w:eastAsiaTheme="minorHAnsi" w:hAnsi="Arial Narrow" w:cs="Times New Roman"/>
          <w:sz w:val="24"/>
          <w:szCs w:val="24"/>
          <w:lang w:eastAsia="en-US"/>
        </w:rPr>
        <w:t xml:space="preserve">governments in Nigeria with formulating strategies to improve the revenue base. </w:t>
      </w:r>
      <w:proofErr w:type="spellStart"/>
      <w:r w:rsidRPr="0087780B">
        <w:rPr>
          <w:rFonts w:ascii="Arial Narrow" w:eastAsiaTheme="minorHAnsi" w:hAnsi="Arial Narrow" w:cs="Times New Roman"/>
          <w:sz w:val="24"/>
          <w:szCs w:val="24"/>
          <w:lang w:eastAsia="en-US"/>
        </w:rPr>
        <w:t>Moreso</w:t>
      </w:r>
      <w:proofErr w:type="spellEnd"/>
      <w:r w:rsidRPr="0087780B">
        <w:rPr>
          <w:rFonts w:ascii="Arial Narrow" w:eastAsiaTheme="minorHAnsi" w:hAnsi="Arial Narrow" w:cs="Times New Roman"/>
          <w:sz w:val="24"/>
          <w:szCs w:val="24"/>
          <w:lang w:eastAsia="en-US"/>
        </w:rPr>
        <w:t>, the near collapse of the National Economy has created serious financial stress for all tiers of government. Hardest hit are the state governments all of whom have experienced unusual reduction in their share of the National Revenue from the Federation Account. Despite the numerous sources of revenue available to the various tiers of government as specified in the Nigeria 1999 Constitution, since the 1970s till now, over 80% of the annual revenue of the three tiers of government come from petroleum. However, the serious decline in the price of oil in recent years has led to a decrease in the funds available for distribution to the states. The need for state and local governments to generate adequate revenue from internal sources has therefore become a matter of extreme urgency and importance. This need underscores the eagerness on the part of state and local governments and even the federal government to look for new sources of revenue or to become aggressive and innovative in the mode of collecting</w:t>
      </w:r>
      <w:r w:rsidR="00861C3B" w:rsidRPr="0087780B">
        <w:rPr>
          <w:rFonts w:ascii="Arial Narrow" w:eastAsiaTheme="minorHAnsi" w:hAnsi="Arial Narrow" w:cs="Times New Roman"/>
          <w:sz w:val="24"/>
          <w:szCs w:val="24"/>
          <w:lang w:eastAsia="en-US"/>
        </w:rPr>
        <w:t xml:space="preserve"> </w:t>
      </w:r>
      <w:r w:rsidRPr="0087780B">
        <w:rPr>
          <w:rFonts w:ascii="Arial Narrow" w:eastAsiaTheme="minorHAnsi" w:hAnsi="Arial Narrow" w:cs="Times New Roman"/>
          <w:sz w:val="24"/>
          <w:szCs w:val="24"/>
          <w:lang w:eastAsia="en-US"/>
        </w:rPr>
        <w:t>revenue from existing sources.</w:t>
      </w:r>
      <w:r w:rsidR="00AF0BF7">
        <w:rPr>
          <w:rFonts w:ascii="Arial Narrow" w:eastAsiaTheme="minorHAnsi" w:hAnsi="Arial Narrow" w:cs="Times New Roman"/>
          <w:sz w:val="24"/>
          <w:szCs w:val="24"/>
          <w:lang w:eastAsia="en-US"/>
        </w:rPr>
        <w:t xml:space="preserve"> </w:t>
      </w:r>
      <w:r w:rsidRPr="0087780B">
        <w:rPr>
          <w:rFonts w:ascii="Arial Narrow" w:eastAsiaTheme="minorHAnsi" w:hAnsi="Arial Narrow" w:cs="Times New Roman"/>
          <w:sz w:val="24"/>
          <w:szCs w:val="24"/>
          <w:lang w:eastAsia="en-US"/>
        </w:rPr>
        <w:t xml:space="preserve">To meet the inescapable need for increased revenue, the use of </w:t>
      </w:r>
      <w:r w:rsidR="00AF0BF7">
        <w:rPr>
          <w:rFonts w:ascii="Arial Narrow" w:eastAsiaTheme="minorHAnsi" w:hAnsi="Arial Narrow" w:cs="Times New Roman"/>
          <w:sz w:val="24"/>
          <w:szCs w:val="24"/>
          <w:lang w:eastAsia="en-US"/>
        </w:rPr>
        <w:t>an</w:t>
      </w:r>
      <w:r w:rsidRPr="0087780B">
        <w:rPr>
          <w:rFonts w:ascii="Arial Narrow" w:eastAsiaTheme="minorHAnsi" w:hAnsi="Arial Narrow" w:cs="Times New Roman"/>
          <w:sz w:val="24"/>
          <w:szCs w:val="24"/>
          <w:lang w:eastAsia="en-US"/>
        </w:rPr>
        <w:t xml:space="preserve"> Accelerated Revenue Generation (ARG) Programme</w:t>
      </w:r>
      <w:r w:rsidR="00AF0BF7">
        <w:rPr>
          <w:rFonts w:ascii="Arial Narrow" w:eastAsiaTheme="minorHAnsi" w:hAnsi="Arial Narrow" w:cs="Times New Roman"/>
          <w:sz w:val="24"/>
          <w:szCs w:val="24"/>
          <w:lang w:eastAsia="en-US"/>
        </w:rPr>
        <w:t xml:space="preserve"> is necessary </w:t>
      </w:r>
      <w:r w:rsidR="00AF0BF7" w:rsidRPr="0087780B">
        <w:rPr>
          <w:rFonts w:ascii="Arial Narrow" w:eastAsiaTheme="minorHAnsi" w:hAnsi="Arial Narrow" w:cs="Times New Roman"/>
          <w:sz w:val="24"/>
          <w:szCs w:val="24"/>
          <w:lang w:eastAsia="en-US"/>
        </w:rPr>
        <w:t>to boost revenue generation</w:t>
      </w:r>
      <w:r w:rsidRPr="0087780B">
        <w:rPr>
          <w:rFonts w:ascii="Arial Narrow" w:eastAsiaTheme="minorHAnsi" w:hAnsi="Arial Narrow" w:cs="Times New Roman"/>
          <w:sz w:val="24"/>
          <w:szCs w:val="24"/>
          <w:lang w:eastAsia="en-US"/>
        </w:rPr>
        <w:t xml:space="preserve">. </w:t>
      </w:r>
    </w:p>
    <w:p w:rsidR="00AF0BF7" w:rsidRDefault="00AF0BF7" w:rsidP="00F80C0A">
      <w:pPr>
        <w:suppressAutoHyphens w:val="0"/>
        <w:spacing w:line="240" w:lineRule="auto"/>
        <w:jc w:val="both"/>
        <w:rPr>
          <w:rFonts w:ascii="Arial Narrow" w:hAnsi="Arial Narrow" w:cs="Arial"/>
          <w:sz w:val="24"/>
          <w:szCs w:val="24"/>
        </w:rPr>
      </w:pPr>
    </w:p>
    <w:p w:rsidR="00007EDA" w:rsidRPr="00C17F99" w:rsidRDefault="00007EDA" w:rsidP="00F80C0A">
      <w:pPr>
        <w:suppressAutoHyphens w:val="0"/>
        <w:spacing w:line="240" w:lineRule="auto"/>
        <w:jc w:val="both"/>
        <w:rPr>
          <w:rFonts w:ascii="Arial Narrow" w:hAnsi="Arial Narrow" w:cs="Arial"/>
          <w:sz w:val="24"/>
          <w:szCs w:val="24"/>
        </w:rPr>
      </w:pPr>
      <w:r w:rsidRPr="00C17F99">
        <w:rPr>
          <w:rFonts w:ascii="Arial Narrow" w:hAnsi="Arial Narrow" w:cs="Arial"/>
          <w:sz w:val="24"/>
          <w:szCs w:val="24"/>
        </w:rPr>
        <w:t xml:space="preserve">Prior to this period, Cross River State is known to receive one of the least allocations from the federation account. It Internally Generated Revenue (IGR) is very low, and less than 10% of government annual expenditure. Although, we have recorded marginal growth in IGR over the last few years, we are still far </w:t>
      </w:r>
      <w:r w:rsidR="00C17F99" w:rsidRPr="00C17F99">
        <w:rPr>
          <w:rFonts w:ascii="Arial Narrow" w:hAnsi="Arial Narrow" w:cs="Arial"/>
          <w:sz w:val="24"/>
          <w:szCs w:val="24"/>
        </w:rPr>
        <w:t>below</w:t>
      </w:r>
      <w:r w:rsidRPr="00C17F99">
        <w:rPr>
          <w:rFonts w:ascii="Arial Narrow" w:hAnsi="Arial Narrow" w:cs="Arial"/>
          <w:sz w:val="24"/>
          <w:szCs w:val="24"/>
        </w:rPr>
        <w:t xml:space="preserve"> optimum potential. Hitherto, Cross River State depends largely on revenue from the federation account. The economic meltdown and dwindling oil prices have further worsened our financial condition </w:t>
      </w:r>
      <w:r w:rsidRPr="00C17F99">
        <w:rPr>
          <w:rFonts w:ascii="Arial Narrow" w:hAnsi="Arial Narrow" w:cs="Arial"/>
          <w:sz w:val="24"/>
          <w:szCs w:val="24"/>
        </w:rPr>
        <w:lastRenderedPageBreak/>
        <w:t>and posed a slim prospect for attainment of budgetary expectations. There</w:t>
      </w:r>
      <w:r w:rsidR="00AF0BF7">
        <w:rPr>
          <w:rFonts w:ascii="Arial Narrow" w:hAnsi="Arial Narrow" w:cs="Arial"/>
          <w:sz w:val="24"/>
          <w:szCs w:val="24"/>
        </w:rPr>
        <w:t>fore urgent need for innovative</w:t>
      </w:r>
      <w:r w:rsidRPr="00C17F99">
        <w:rPr>
          <w:rFonts w:ascii="Arial Narrow" w:hAnsi="Arial Narrow" w:cs="Arial"/>
          <w:sz w:val="24"/>
          <w:szCs w:val="24"/>
        </w:rPr>
        <w:t xml:space="preserve"> IGR </w:t>
      </w:r>
      <w:proofErr w:type="spellStart"/>
      <w:r w:rsidRPr="00C17F99">
        <w:rPr>
          <w:rFonts w:ascii="Arial Narrow" w:hAnsi="Arial Narrow" w:cs="Arial"/>
          <w:sz w:val="24"/>
          <w:szCs w:val="24"/>
        </w:rPr>
        <w:t>programme</w:t>
      </w:r>
      <w:proofErr w:type="spellEnd"/>
      <w:r w:rsidRPr="00C17F99">
        <w:rPr>
          <w:rFonts w:ascii="Arial Narrow" w:hAnsi="Arial Narrow" w:cs="Arial"/>
          <w:sz w:val="24"/>
          <w:szCs w:val="24"/>
        </w:rPr>
        <w:t xml:space="preserve"> through economic growth and development cannot be accentuated.</w:t>
      </w:r>
    </w:p>
    <w:p w:rsidR="00007EDA" w:rsidRPr="00C17F99" w:rsidRDefault="00007EDA" w:rsidP="00F80C0A">
      <w:pPr>
        <w:suppressAutoHyphens w:val="0"/>
        <w:spacing w:line="240" w:lineRule="auto"/>
        <w:jc w:val="both"/>
        <w:rPr>
          <w:rFonts w:ascii="Arial Narrow" w:hAnsi="Arial Narrow" w:cs="Arial"/>
          <w:sz w:val="24"/>
          <w:szCs w:val="24"/>
        </w:rPr>
      </w:pPr>
    </w:p>
    <w:p w:rsidR="00007EDA" w:rsidRPr="00C17F99" w:rsidRDefault="0048311E" w:rsidP="00F80C0A">
      <w:pPr>
        <w:pStyle w:val="NoSpacing"/>
        <w:jc w:val="both"/>
        <w:rPr>
          <w:rFonts w:ascii="Arial Narrow" w:hAnsi="Arial Narrow" w:cs="Arial"/>
          <w:b/>
          <w:sz w:val="24"/>
          <w:szCs w:val="24"/>
        </w:rPr>
      </w:pPr>
      <w:r>
        <w:rPr>
          <w:rFonts w:ascii="Arial Narrow" w:hAnsi="Arial Narrow" w:cs="Arial"/>
          <w:b/>
          <w:sz w:val="24"/>
          <w:szCs w:val="24"/>
        </w:rPr>
        <w:t>2.</w:t>
      </w:r>
      <w:r>
        <w:rPr>
          <w:rFonts w:ascii="Arial Narrow" w:hAnsi="Arial Narrow" w:cs="Arial"/>
          <w:b/>
          <w:sz w:val="24"/>
          <w:szCs w:val="24"/>
        </w:rPr>
        <w:tab/>
      </w:r>
      <w:r w:rsidR="003778A4" w:rsidRPr="00C17F99">
        <w:rPr>
          <w:rFonts w:ascii="Arial Narrow" w:hAnsi="Arial Narrow" w:cs="Arial"/>
          <w:b/>
          <w:sz w:val="24"/>
          <w:szCs w:val="24"/>
        </w:rPr>
        <w:t xml:space="preserve">OVERVIEW OF </w:t>
      </w:r>
      <w:r w:rsidR="00007EDA" w:rsidRPr="00C17F99">
        <w:rPr>
          <w:rFonts w:ascii="Arial Narrow" w:hAnsi="Arial Narrow" w:cs="Arial"/>
          <w:b/>
          <w:sz w:val="24"/>
          <w:szCs w:val="24"/>
        </w:rPr>
        <w:t xml:space="preserve">NIGERIA’S REVENUE </w:t>
      </w:r>
      <w:r w:rsidR="003778A4" w:rsidRPr="00C17F99">
        <w:rPr>
          <w:rFonts w:ascii="Arial Narrow" w:hAnsi="Arial Narrow" w:cs="Arial"/>
          <w:b/>
          <w:sz w:val="24"/>
          <w:szCs w:val="24"/>
        </w:rPr>
        <w:t xml:space="preserve">ARCHITECTURE </w:t>
      </w:r>
    </w:p>
    <w:p w:rsidR="002D6109" w:rsidRPr="00C17F99" w:rsidRDefault="00221C51" w:rsidP="00F80C0A">
      <w:pPr>
        <w:pStyle w:val="NoSpacing"/>
        <w:jc w:val="both"/>
        <w:rPr>
          <w:rFonts w:ascii="Arial Narrow" w:hAnsi="Arial Narrow" w:cs="Arial"/>
          <w:sz w:val="24"/>
          <w:szCs w:val="24"/>
        </w:rPr>
      </w:pPr>
      <w:r w:rsidRPr="00C17F99">
        <w:rPr>
          <w:rFonts w:ascii="Arial Narrow" w:hAnsi="Arial Narrow" w:cs="Arial"/>
          <w:sz w:val="24"/>
          <w:szCs w:val="24"/>
        </w:rPr>
        <w:t>In the 1963 Constitution taxing powers of feder</w:t>
      </w:r>
      <w:r w:rsidR="00007EDA" w:rsidRPr="00C17F99">
        <w:rPr>
          <w:rFonts w:ascii="Arial Narrow" w:hAnsi="Arial Narrow" w:cs="Arial"/>
          <w:sz w:val="24"/>
          <w:szCs w:val="24"/>
        </w:rPr>
        <w:t xml:space="preserve">al and </w:t>
      </w:r>
      <w:r w:rsidRPr="00C17F99">
        <w:rPr>
          <w:rFonts w:ascii="Arial Narrow" w:hAnsi="Arial Narrow" w:cs="Arial"/>
          <w:sz w:val="24"/>
          <w:szCs w:val="24"/>
        </w:rPr>
        <w:t>regional governments</w:t>
      </w:r>
      <w:r w:rsidR="00007EDA" w:rsidRPr="00C17F99">
        <w:rPr>
          <w:rFonts w:ascii="Arial Narrow" w:hAnsi="Arial Narrow" w:cs="Arial"/>
          <w:sz w:val="24"/>
          <w:szCs w:val="24"/>
        </w:rPr>
        <w:t xml:space="preserve"> was</w:t>
      </w:r>
      <w:r w:rsidRPr="00C17F99">
        <w:rPr>
          <w:rFonts w:ascii="Arial Narrow" w:hAnsi="Arial Narrow" w:cs="Arial"/>
          <w:sz w:val="24"/>
          <w:szCs w:val="24"/>
        </w:rPr>
        <w:t xml:space="preserve"> clearly demarcated to ref</w:t>
      </w:r>
      <w:r w:rsidR="002D6109" w:rsidRPr="00C17F99">
        <w:rPr>
          <w:rFonts w:ascii="Arial Narrow" w:hAnsi="Arial Narrow" w:cs="Arial"/>
          <w:sz w:val="24"/>
          <w:szCs w:val="24"/>
        </w:rPr>
        <w:t xml:space="preserve">lect their negotiated/assigned </w:t>
      </w:r>
      <w:r w:rsidRPr="00C17F99">
        <w:rPr>
          <w:rFonts w:ascii="Arial Narrow" w:hAnsi="Arial Narrow" w:cs="Arial"/>
          <w:sz w:val="24"/>
          <w:szCs w:val="24"/>
        </w:rPr>
        <w:t xml:space="preserve">tasks and the Regions </w:t>
      </w:r>
      <w:r w:rsidR="00007EDA" w:rsidRPr="00C17F99">
        <w:rPr>
          <w:rFonts w:ascii="Arial Narrow" w:hAnsi="Arial Narrow" w:cs="Arial"/>
          <w:sz w:val="24"/>
          <w:szCs w:val="24"/>
        </w:rPr>
        <w:t xml:space="preserve">had </w:t>
      </w:r>
      <w:r w:rsidRPr="00C17F99">
        <w:rPr>
          <w:rFonts w:ascii="Arial Narrow" w:hAnsi="Arial Narrow" w:cs="Arial"/>
          <w:sz w:val="24"/>
          <w:szCs w:val="24"/>
        </w:rPr>
        <w:t>complete jurisdiction over a broad range of well performing taxes</w:t>
      </w:r>
      <w:r w:rsidR="002D6109" w:rsidRPr="00C17F99">
        <w:rPr>
          <w:rFonts w:ascii="Arial Narrow" w:hAnsi="Arial Narrow" w:cs="Arial"/>
          <w:sz w:val="24"/>
          <w:szCs w:val="24"/>
        </w:rPr>
        <w:t xml:space="preserve"> which include:</w:t>
      </w:r>
    </w:p>
    <w:p w:rsidR="00221C51" w:rsidRPr="00C17F99" w:rsidRDefault="00221C51" w:rsidP="00F80C0A">
      <w:pPr>
        <w:pStyle w:val="NoSpacing"/>
        <w:numPr>
          <w:ilvl w:val="0"/>
          <w:numId w:val="12"/>
        </w:numPr>
        <w:jc w:val="both"/>
        <w:rPr>
          <w:rFonts w:ascii="Arial Narrow" w:hAnsi="Arial Narrow" w:cs="Arial"/>
          <w:sz w:val="24"/>
          <w:szCs w:val="24"/>
        </w:rPr>
      </w:pPr>
      <w:r w:rsidRPr="00C17F99">
        <w:rPr>
          <w:rFonts w:ascii="Arial Narrow" w:hAnsi="Arial Narrow" w:cs="Arial"/>
          <w:sz w:val="24"/>
          <w:szCs w:val="24"/>
        </w:rPr>
        <w:t>Personal income tax (PIT), and capital gains tax</w:t>
      </w:r>
    </w:p>
    <w:p w:rsidR="00221C51" w:rsidRPr="00C17F99" w:rsidRDefault="00221C51" w:rsidP="00F80C0A">
      <w:pPr>
        <w:pStyle w:val="NoSpacing"/>
        <w:numPr>
          <w:ilvl w:val="0"/>
          <w:numId w:val="12"/>
        </w:numPr>
        <w:jc w:val="both"/>
        <w:rPr>
          <w:rFonts w:ascii="Arial Narrow" w:hAnsi="Arial Narrow" w:cs="Arial"/>
          <w:sz w:val="24"/>
          <w:szCs w:val="24"/>
        </w:rPr>
      </w:pPr>
      <w:r w:rsidRPr="00C17F99">
        <w:rPr>
          <w:rFonts w:ascii="Arial Narrow" w:hAnsi="Arial Narrow" w:cs="Arial"/>
          <w:sz w:val="24"/>
          <w:szCs w:val="24"/>
        </w:rPr>
        <w:t>Sales and purchase taxes on produce, hides &amp; skins, motor spirit, diesel oil for road vehicles, and for non-industrial use</w:t>
      </w:r>
    </w:p>
    <w:p w:rsidR="00221C51" w:rsidRPr="00C17F99" w:rsidRDefault="00221C51" w:rsidP="00F80C0A">
      <w:pPr>
        <w:pStyle w:val="NoSpacing"/>
        <w:numPr>
          <w:ilvl w:val="0"/>
          <w:numId w:val="12"/>
        </w:numPr>
        <w:jc w:val="both"/>
        <w:rPr>
          <w:rFonts w:ascii="Arial Narrow" w:hAnsi="Arial Narrow" w:cs="Arial"/>
          <w:sz w:val="24"/>
          <w:szCs w:val="24"/>
        </w:rPr>
      </w:pPr>
      <w:r w:rsidRPr="00C17F99">
        <w:rPr>
          <w:rFonts w:ascii="Arial Narrow" w:hAnsi="Arial Narrow" w:cs="Arial"/>
          <w:sz w:val="24"/>
          <w:szCs w:val="24"/>
        </w:rPr>
        <w:t>Motor vehicle tax and drivers license fees</w:t>
      </w:r>
    </w:p>
    <w:p w:rsidR="00221C51" w:rsidRPr="00C17F99" w:rsidRDefault="00221C51" w:rsidP="00F80C0A">
      <w:pPr>
        <w:pStyle w:val="NoSpacing"/>
        <w:numPr>
          <w:ilvl w:val="0"/>
          <w:numId w:val="12"/>
        </w:numPr>
        <w:jc w:val="both"/>
        <w:rPr>
          <w:rFonts w:ascii="Arial Narrow" w:hAnsi="Arial Narrow" w:cs="Arial"/>
          <w:sz w:val="24"/>
          <w:szCs w:val="24"/>
        </w:rPr>
      </w:pPr>
      <w:r w:rsidRPr="00C17F99">
        <w:rPr>
          <w:rFonts w:ascii="Arial Narrow" w:hAnsi="Arial Narrow" w:cs="Arial"/>
          <w:sz w:val="24"/>
          <w:szCs w:val="24"/>
        </w:rPr>
        <w:t>Entertainment tax, football pools and other betting taxes</w:t>
      </w:r>
    </w:p>
    <w:p w:rsidR="00221C51" w:rsidRPr="00C17F99" w:rsidRDefault="00221C51" w:rsidP="00F80C0A">
      <w:pPr>
        <w:pStyle w:val="NoSpacing"/>
        <w:numPr>
          <w:ilvl w:val="0"/>
          <w:numId w:val="12"/>
        </w:numPr>
        <w:jc w:val="both"/>
        <w:rPr>
          <w:rFonts w:ascii="Arial Narrow" w:hAnsi="Arial Narrow" w:cs="Arial"/>
          <w:sz w:val="24"/>
          <w:szCs w:val="24"/>
        </w:rPr>
      </w:pPr>
      <w:r w:rsidRPr="00C17F99">
        <w:rPr>
          <w:rFonts w:ascii="Arial Narrow" w:hAnsi="Arial Narrow" w:cs="Arial"/>
          <w:sz w:val="24"/>
          <w:szCs w:val="24"/>
        </w:rPr>
        <w:t>Cattle tax</w:t>
      </w:r>
      <w:r w:rsidR="003778A4" w:rsidRPr="00C17F99">
        <w:rPr>
          <w:rFonts w:ascii="Arial Narrow" w:hAnsi="Arial Narrow" w:cs="Arial"/>
          <w:sz w:val="24"/>
          <w:szCs w:val="24"/>
        </w:rPr>
        <w:t>.</w:t>
      </w:r>
    </w:p>
    <w:p w:rsidR="002D6109" w:rsidRPr="00C17F99" w:rsidRDefault="00221C51" w:rsidP="00F80C0A">
      <w:pPr>
        <w:suppressAutoHyphens w:val="0"/>
        <w:spacing w:line="240" w:lineRule="auto"/>
        <w:jc w:val="both"/>
        <w:rPr>
          <w:rFonts w:ascii="Arial Narrow" w:hAnsi="Arial Narrow" w:cs="Arial"/>
          <w:sz w:val="24"/>
          <w:szCs w:val="24"/>
        </w:rPr>
      </w:pPr>
      <w:r w:rsidRPr="00C17F99">
        <w:rPr>
          <w:rFonts w:ascii="Arial Narrow" w:hAnsi="Arial Narrow" w:cs="Arial"/>
          <w:sz w:val="24"/>
          <w:szCs w:val="24"/>
        </w:rPr>
        <w:t>Regional legal and administrative jurisdiction over their taxes</w:t>
      </w:r>
      <w:r w:rsidR="00007EDA" w:rsidRPr="00C17F99">
        <w:rPr>
          <w:rFonts w:ascii="Arial Narrow" w:hAnsi="Arial Narrow" w:cs="Arial"/>
          <w:sz w:val="24"/>
          <w:szCs w:val="24"/>
        </w:rPr>
        <w:t xml:space="preserve"> and Regional revenues was sufficient to sustain them.</w:t>
      </w:r>
      <w:r w:rsidR="002D6109" w:rsidRPr="00C17F99">
        <w:rPr>
          <w:rFonts w:ascii="Arial Narrow" w:hAnsi="Arial Narrow" w:cs="Arial"/>
          <w:sz w:val="24"/>
          <w:szCs w:val="24"/>
        </w:rPr>
        <w:t xml:space="preserve"> </w:t>
      </w:r>
    </w:p>
    <w:p w:rsidR="00221C51" w:rsidRPr="00C17F99" w:rsidRDefault="00221C51" w:rsidP="00F80C0A">
      <w:pPr>
        <w:pStyle w:val="NoSpacing"/>
        <w:jc w:val="both"/>
        <w:rPr>
          <w:rFonts w:ascii="Arial Narrow" w:hAnsi="Arial Narrow" w:cs="Arial"/>
          <w:sz w:val="24"/>
          <w:szCs w:val="24"/>
        </w:rPr>
      </w:pPr>
      <w:r w:rsidRPr="00C17F99">
        <w:rPr>
          <w:rFonts w:ascii="Arial Narrow" w:hAnsi="Arial Narrow" w:cs="Arial"/>
          <w:sz w:val="24"/>
          <w:szCs w:val="24"/>
        </w:rPr>
        <w:t xml:space="preserve">Agricultural produce was the mainstay of the Nigeria economy </w:t>
      </w:r>
      <w:r w:rsidR="00007EDA" w:rsidRPr="00C17F99">
        <w:rPr>
          <w:rFonts w:ascii="Arial Narrow" w:hAnsi="Arial Narrow" w:cs="Arial"/>
          <w:sz w:val="24"/>
          <w:szCs w:val="24"/>
        </w:rPr>
        <w:t>Sales and purchase taxes on produce particularly significant</w:t>
      </w:r>
      <w:r w:rsidR="002D6109" w:rsidRPr="00C17F99">
        <w:rPr>
          <w:rFonts w:ascii="Arial Narrow" w:hAnsi="Arial Narrow" w:cs="Arial"/>
          <w:sz w:val="24"/>
          <w:szCs w:val="24"/>
        </w:rPr>
        <w:t xml:space="preserve">. </w:t>
      </w:r>
      <w:r w:rsidRPr="00C17F99">
        <w:rPr>
          <w:rFonts w:ascii="Arial Narrow" w:hAnsi="Arial Narrow" w:cs="Arial"/>
          <w:sz w:val="24"/>
          <w:szCs w:val="24"/>
        </w:rPr>
        <w:t xml:space="preserve">Each region </w:t>
      </w:r>
      <w:proofErr w:type="gramStart"/>
      <w:r w:rsidRPr="00C17F99">
        <w:rPr>
          <w:rFonts w:ascii="Arial Narrow" w:hAnsi="Arial Narrow" w:cs="Arial"/>
          <w:sz w:val="24"/>
          <w:szCs w:val="24"/>
        </w:rPr>
        <w:t>specialized</w:t>
      </w:r>
      <w:proofErr w:type="gramEnd"/>
      <w:r w:rsidRPr="00C17F99">
        <w:rPr>
          <w:rFonts w:ascii="Arial Narrow" w:hAnsi="Arial Narrow" w:cs="Arial"/>
          <w:sz w:val="24"/>
          <w:szCs w:val="24"/>
        </w:rPr>
        <w:t xml:space="preserve"> produced and exported particular cash crops</w:t>
      </w:r>
      <w:r w:rsidR="002D6109" w:rsidRPr="00C17F99">
        <w:rPr>
          <w:rFonts w:ascii="Arial Narrow" w:hAnsi="Arial Narrow" w:cs="Arial"/>
          <w:sz w:val="24"/>
          <w:szCs w:val="24"/>
        </w:rPr>
        <w:t>:</w:t>
      </w:r>
    </w:p>
    <w:p w:rsidR="00221C51" w:rsidRPr="00C17F99" w:rsidRDefault="002D6109" w:rsidP="00F80C0A">
      <w:pPr>
        <w:pStyle w:val="NoSpacing"/>
        <w:numPr>
          <w:ilvl w:val="0"/>
          <w:numId w:val="13"/>
        </w:numPr>
        <w:jc w:val="both"/>
        <w:rPr>
          <w:rFonts w:ascii="Arial Narrow" w:hAnsi="Arial Narrow" w:cs="Arial"/>
          <w:sz w:val="24"/>
          <w:szCs w:val="24"/>
        </w:rPr>
      </w:pPr>
      <w:r w:rsidRPr="00C17F99">
        <w:rPr>
          <w:rFonts w:ascii="Arial Narrow" w:hAnsi="Arial Narrow" w:cs="Arial"/>
          <w:sz w:val="24"/>
          <w:szCs w:val="24"/>
        </w:rPr>
        <w:t>The Northern R</w:t>
      </w:r>
      <w:r w:rsidR="00221C51" w:rsidRPr="00C17F99">
        <w:rPr>
          <w:rFonts w:ascii="Arial Narrow" w:hAnsi="Arial Narrow" w:cs="Arial"/>
          <w:sz w:val="24"/>
          <w:szCs w:val="24"/>
        </w:rPr>
        <w:t>egion produced groundnuts, cotton and hides and skin</w:t>
      </w:r>
    </w:p>
    <w:p w:rsidR="00221C51" w:rsidRPr="00C17F99" w:rsidRDefault="002D6109" w:rsidP="00F80C0A">
      <w:pPr>
        <w:pStyle w:val="NoSpacing"/>
        <w:numPr>
          <w:ilvl w:val="0"/>
          <w:numId w:val="13"/>
        </w:numPr>
        <w:jc w:val="both"/>
        <w:rPr>
          <w:rFonts w:ascii="Arial Narrow" w:hAnsi="Arial Narrow" w:cs="Arial"/>
          <w:sz w:val="24"/>
          <w:szCs w:val="24"/>
        </w:rPr>
      </w:pPr>
      <w:r w:rsidRPr="00C17F99">
        <w:rPr>
          <w:rFonts w:ascii="Arial Narrow" w:hAnsi="Arial Narrow" w:cs="Arial"/>
          <w:sz w:val="24"/>
          <w:szCs w:val="24"/>
        </w:rPr>
        <w:t>The Western R</w:t>
      </w:r>
      <w:r w:rsidR="00221C51" w:rsidRPr="00C17F99">
        <w:rPr>
          <w:rFonts w:ascii="Arial Narrow" w:hAnsi="Arial Narrow" w:cs="Arial"/>
          <w:sz w:val="24"/>
          <w:szCs w:val="24"/>
        </w:rPr>
        <w:t>egion concentrated on cocoa</w:t>
      </w:r>
    </w:p>
    <w:p w:rsidR="00221C51" w:rsidRPr="00C17F99" w:rsidRDefault="002D6109" w:rsidP="00F80C0A">
      <w:pPr>
        <w:pStyle w:val="NoSpacing"/>
        <w:numPr>
          <w:ilvl w:val="0"/>
          <w:numId w:val="13"/>
        </w:numPr>
        <w:jc w:val="both"/>
        <w:rPr>
          <w:rFonts w:ascii="Arial Narrow" w:hAnsi="Arial Narrow" w:cs="Arial"/>
          <w:sz w:val="24"/>
          <w:szCs w:val="24"/>
        </w:rPr>
      </w:pPr>
      <w:r w:rsidRPr="00C17F99">
        <w:rPr>
          <w:rFonts w:ascii="Arial Narrow" w:hAnsi="Arial Narrow" w:cs="Arial"/>
          <w:sz w:val="24"/>
          <w:szCs w:val="24"/>
        </w:rPr>
        <w:t>The Eastern R</w:t>
      </w:r>
      <w:r w:rsidR="00221C51" w:rsidRPr="00C17F99">
        <w:rPr>
          <w:rFonts w:ascii="Arial Narrow" w:hAnsi="Arial Narrow" w:cs="Arial"/>
          <w:sz w:val="24"/>
          <w:szCs w:val="24"/>
        </w:rPr>
        <w:t xml:space="preserve">egion was famous for palm produce </w:t>
      </w:r>
    </w:p>
    <w:p w:rsidR="00221C51" w:rsidRPr="00C17F99" w:rsidRDefault="00221C51" w:rsidP="00F80C0A">
      <w:pPr>
        <w:pStyle w:val="NoSpacing"/>
        <w:numPr>
          <w:ilvl w:val="0"/>
          <w:numId w:val="13"/>
        </w:numPr>
        <w:jc w:val="both"/>
        <w:rPr>
          <w:rFonts w:ascii="Arial Narrow" w:hAnsi="Arial Narrow" w:cs="Arial"/>
          <w:sz w:val="24"/>
          <w:szCs w:val="24"/>
        </w:rPr>
      </w:pPr>
      <w:r w:rsidRPr="00C17F99">
        <w:rPr>
          <w:rFonts w:ascii="Arial Narrow" w:hAnsi="Arial Narrow" w:cs="Arial"/>
          <w:sz w:val="24"/>
          <w:szCs w:val="24"/>
        </w:rPr>
        <w:t>The Midwestern region produced rubber</w:t>
      </w:r>
      <w:r w:rsidR="003778A4" w:rsidRPr="00C17F99">
        <w:rPr>
          <w:rFonts w:ascii="Arial Narrow" w:hAnsi="Arial Narrow" w:cs="Arial"/>
          <w:sz w:val="24"/>
          <w:szCs w:val="24"/>
        </w:rPr>
        <w:t>.</w:t>
      </w:r>
      <w:r w:rsidRPr="00C17F99">
        <w:rPr>
          <w:rFonts w:ascii="Arial Narrow" w:hAnsi="Arial Narrow" w:cs="Arial"/>
          <w:sz w:val="24"/>
          <w:szCs w:val="24"/>
        </w:rPr>
        <w:t xml:space="preserve"> </w:t>
      </w:r>
    </w:p>
    <w:p w:rsidR="00221C51" w:rsidRPr="00C17F99" w:rsidRDefault="00221C51" w:rsidP="00F80C0A">
      <w:pPr>
        <w:pStyle w:val="NoSpacing"/>
        <w:jc w:val="both"/>
        <w:rPr>
          <w:rFonts w:ascii="Arial Narrow" w:hAnsi="Arial Narrow" w:cs="Arial"/>
          <w:sz w:val="24"/>
          <w:szCs w:val="24"/>
        </w:rPr>
      </w:pPr>
      <w:r w:rsidRPr="00C17F99">
        <w:rPr>
          <w:rFonts w:ascii="Arial Narrow" w:hAnsi="Arial Narrow" w:cs="Arial"/>
          <w:sz w:val="24"/>
          <w:szCs w:val="24"/>
        </w:rPr>
        <w:t>Regional commodities/produce marketing boards</w:t>
      </w:r>
      <w:r w:rsidR="002D6109" w:rsidRPr="00C17F99">
        <w:rPr>
          <w:rFonts w:ascii="Arial Narrow" w:hAnsi="Arial Narrow" w:cs="Arial"/>
          <w:sz w:val="24"/>
          <w:szCs w:val="24"/>
        </w:rPr>
        <w:t xml:space="preserve"> were effective and efficient and the Regions had </w:t>
      </w:r>
      <w:r w:rsidRPr="00C17F99">
        <w:rPr>
          <w:rFonts w:ascii="Arial Narrow" w:hAnsi="Arial Narrow" w:cs="Arial"/>
          <w:sz w:val="24"/>
          <w:szCs w:val="24"/>
        </w:rPr>
        <w:t>jurisdiction over key service delivery sectors</w:t>
      </w:r>
      <w:r w:rsidR="002D6109" w:rsidRPr="00C17F99">
        <w:rPr>
          <w:rFonts w:ascii="Arial Narrow" w:hAnsi="Arial Narrow" w:cs="Arial"/>
          <w:sz w:val="24"/>
          <w:szCs w:val="24"/>
        </w:rPr>
        <w:t xml:space="preserve"> such as Agriculture, E</w:t>
      </w:r>
      <w:r w:rsidRPr="00C17F99">
        <w:rPr>
          <w:rFonts w:ascii="Arial Narrow" w:hAnsi="Arial Narrow" w:cs="Arial"/>
          <w:sz w:val="24"/>
          <w:szCs w:val="24"/>
        </w:rPr>
        <w:t>ducation,</w:t>
      </w:r>
      <w:r w:rsidR="002D6109" w:rsidRPr="00C17F99">
        <w:rPr>
          <w:rFonts w:ascii="Arial Narrow" w:hAnsi="Arial Narrow" w:cs="Arial"/>
          <w:sz w:val="24"/>
          <w:szCs w:val="24"/>
        </w:rPr>
        <w:t xml:space="preserve"> and</w:t>
      </w:r>
      <w:r w:rsidRPr="00C17F99">
        <w:rPr>
          <w:rFonts w:ascii="Arial Narrow" w:hAnsi="Arial Narrow" w:cs="Arial"/>
          <w:sz w:val="24"/>
          <w:szCs w:val="24"/>
        </w:rPr>
        <w:t xml:space="preserve"> </w:t>
      </w:r>
      <w:r w:rsidR="002D6109" w:rsidRPr="00C17F99">
        <w:rPr>
          <w:rFonts w:ascii="Arial Narrow" w:hAnsi="Arial Narrow" w:cs="Arial"/>
          <w:sz w:val="24"/>
          <w:szCs w:val="24"/>
        </w:rPr>
        <w:t>H</w:t>
      </w:r>
      <w:r w:rsidRPr="00C17F99">
        <w:rPr>
          <w:rFonts w:ascii="Arial Narrow" w:hAnsi="Arial Narrow" w:cs="Arial"/>
          <w:sz w:val="24"/>
          <w:szCs w:val="24"/>
        </w:rPr>
        <w:t>ealth</w:t>
      </w:r>
      <w:r w:rsidR="002D6109" w:rsidRPr="00C17F99">
        <w:rPr>
          <w:rFonts w:ascii="Arial Narrow" w:hAnsi="Arial Narrow" w:cs="Arial"/>
          <w:sz w:val="24"/>
          <w:szCs w:val="24"/>
        </w:rPr>
        <w:t xml:space="preserve">; </w:t>
      </w:r>
      <w:r w:rsidRPr="00C17F99">
        <w:rPr>
          <w:rFonts w:ascii="Arial Narrow" w:hAnsi="Arial Narrow" w:cs="Arial"/>
          <w:sz w:val="24"/>
          <w:szCs w:val="24"/>
        </w:rPr>
        <w:t>Transport, except those of interregional significance: railways, aviation, trunk roads, waterways</w:t>
      </w:r>
      <w:r w:rsidR="002D6109" w:rsidRPr="00C17F99">
        <w:rPr>
          <w:rFonts w:ascii="Arial Narrow" w:hAnsi="Arial Narrow" w:cs="Arial"/>
          <w:sz w:val="24"/>
          <w:szCs w:val="24"/>
        </w:rPr>
        <w:t xml:space="preserve"> as well as </w:t>
      </w:r>
      <w:r w:rsidRPr="00C17F99">
        <w:rPr>
          <w:rFonts w:ascii="Arial Narrow" w:hAnsi="Arial Narrow" w:cs="Arial"/>
          <w:sz w:val="24"/>
          <w:szCs w:val="24"/>
        </w:rPr>
        <w:t>Regional and local police and security</w:t>
      </w:r>
      <w:r w:rsidR="002D6109" w:rsidRPr="00C17F99">
        <w:rPr>
          <w:rFonts w:ascii="Arial Narrow" w:hAnsi="Arial Narrow" w:cs="Arial"/>
          <w:sz w:val="24"/>
          <w:szCs w:val="24"/>
        </w:rPr>
        <w:t>.</w:t>
      </w:r>
    </w:p>
    <w:p w:rsidR="00A71A52" w:rsidRPr="00C17F99" w:rsidRDefault="00A71A52" w:rsidP="002D6109">
      <w:pPr>
        <w:pStyle w:val="NoSpacing"/>
        <w:rPr>
          <w:rFonts w:ascii="Arial Narrow" w:hAnsi="Arial Narrow" w:cs="Arial"/>
          <w:sz w:val="24"/>
          <w:szCs w:val="24"/>
        </w:rPr>
      </w:pPr>
    </w:p>
    <w:p w:rsidR="00221C51" w:rsidRPr="00C17F99" w:rsidRDefault="00221C51" w:rsidP="002D6109">
      <w:pPr>
        <w:pStyle w:val="NoSpacing"/>
        <w:rPr>
          <w:rFonts w:ascii="Arial Narrow" w:hAnsi="Arial Narrow" w:cs="Arial"/>
          <w:sz w:val="24"/>
          <w:szCs w:val="24"/>
        </w:rPr>
      </w:pPr>
      <w:r w:rsidRPr="00C17F99">
        <w:rPr>
          <w:rFonts w:ascii="Arial Narrow" w:hAnsi="Arial Narrow" w:cs="Arial"/>
          <w:sz w:val="24"/>
          <w:szCs w:val="24"/>
        </w:rPr>
        <w:t xml:space="preserve">Gradual </w:t>
      </w:r>
      <w:r w:rsidR="002D6109" w:rsidRPr="00C17F99">
        <w:rPr>
          <w:rFonts w:ascii="Arial Narrow" w:hAnsi="Arial Narrow" w:cs="Arial"/>
          <w:sz w:val="24"/>
          <w:szCs w:val="24"/>
        </w:rPr>
        <w:t>(</w:t>
      </w:r>
      <w:r w:rsidRPr="00C17F99">
        <w:rPr>
          <w:rFonts w:ascii="Arial Narrow" w:hAnsi="Arial Narrow" w:cs="Arial"/>
          <w:sz w:val="24"/>
          <w:szCs w:val="24"/>
        </w:rPr>
        <w:t xml:space="preserve">but </w:t>
      </w:r>
      <w:r w:rsidR="008F5259" w:rsidRPr="00C17F99">
        <w:rPr>
          <w:rFonts w:ascii="Arial Narrow" w:hAnsi="Arial Narrow" w:cs="Arial"/>
          <w:sz w:val="24"/>
          <w:szCs w:val="24"/>
        </w:rPr>
        <w:t>permanent</w:t>
      </w:r>
      <w:r w:rsidRPr="00C17F99">
        <w:rPr>
          <w:rFonts w:ascii="Arial Narrow" w:hAnsi="Arial Narrow" w:cs="Arial"/>
          <w:sz w:val="24"/>
          <w:szCs w:val="24"/>
        </w:rPr>
        <w:t>?) alteration of Nigeria’s fiscal landscape: political architecture, fiscal federalism, et al</w:t>
      </w:r>
      <w:r w:rsidR="002D6109" w:rsidRPr="00C17F99">
        <w:rPr>
          <w:rFonts w:ascii="Arial Narrow" w:hAnsi="Arial Narrow" w:cs="Arial"/>
          <w:sz w:val="24"/>
          <w:szCs w:val="24"/>
        </w:rPr>
        <w:t xml:space="preserve"> manifested in the following areas:</w:t>
      </w:r>
    </w:p>
    <w:p w:rsidR="00221C51" w:rsidRPr="00C17F99" w:rsidRDefault="00221C51" w:rsidP="002D6109">
      <w:pPr>
        <w:pStyle w:val="NoSpacing"/>
        <w:rPr>
          <w:rFonts w:ascii="Arial Narrow" w:hAnsi="Arial Narrow" w:cs="Arial"/>
          <w:sz w:val="24"/>
          <w:szCs w:val="24"/>
        </w:rPr>
      </w:pPr>
      <w:r w:rsidRPr="00C17F99">
        <w:rPr>
          <w:rFonts w:ascii="Arial Narrow" w:hAnsi="Arial Narrow" w:cs="Arial"/>
          <w:sz w:val="24"/>
          <w:szCs w:val="24"/>
        </w:rPr>
        <w:t>Creation of Federal Ministry of Agriculture in 1966</w:t>
      </w:r>
      <w:r w:rsidR="00BE23F1" w:rsidRPr="00C17F99">
        <w:rPr>
          <w:rFonts w:ascii="Arial Narrow" w:hAnsi="Arial Narrow" w:cs="Arial"/>
          <w:sz w:val="24"/>
          <w:szCs w:val="24"/>
        </w:rPr>
        <w:t xml:space="preserve"> and </w:t>
      </w:r>
      <w:r w:rsidRPr="00C17F99">
        <w:rPr>
          <w:rFonts w:ascii="Arial Narrow" w:hAnsi="Arial Narrow" w:cs="Arial"/>
          <w:sz w:val="24"/>
          <w:szCs w:val="24"/>
        </w:rPr>
        <w:t>Decrees 14 and 15 of 1967</w:t>
      </w:r>
      <w:r w:rsidR="00BE23F1" w:rsidRPr="00C17F99">
        <w:rPr>
          <w:rFonts w:ascii="Arial Narrow" w:hAnsi="Arial Narrow" w:cs="Arial"/>
          <w:sz w:val="24"/>
          <w:szCs w:val="24"/>
        </w:rPr>
        <w:t xml:space="preserve"> a</w:t>
      </w:r>
      <w:r w:rsidRPr="00C17F99">
        <w:rPr>
          <w:rFonts w:ascii="Arial Narrow" w:hAnsi="Arial Narrow" w:cs="Arial"/>
          <w:sz w:val="24"/>
          <w:szCs w:val="24"/>
        </w:rPr>
        <w:t>bolish</w:t>
      </w:r>
      <w:r w:rsidR="00BE23F1" w:rsidRPr="00C17F99">
        <w:rPr>
          <w:rFonts w:ascii="Arial Narrow" w:hAnsi="Arial Narrow" w:cs="Arial"/>
          <w:sz w:val="24"/>
          <w:szCs w:val="24"/>
        </w:rPr>
        <w:t>ing of</w:t>
      </w:r>
      <w:r w:rsidRPr="00C17F99">
        <w:rPr>
          <w:rFonts w:ascii="Arial Narrow" w:hAnsi="Arial Narrow" w:cs="Arial"/>
          <w:sz w:val="24"/>
          <w:szCs w:val="24"/>
        </w:rPr>
        <w:t xml:space="preserve"> the fo</w:t>
      </w:r>
      <w:r w:rsidR="00BE23F1" w:rsidRPr="00C17F99">
        <w:rPr>
          <w:rFonts w:ascii="Arial Narrow" w:hAnsi="Arial Narrow" w:cs="Arial"/>
          <w:sz w:val="24"/>
          <w:szCs w:val="24"/>
        </w:rPr>
        <w:t>ur region structure and replacing</w:t>
      </w:r>
      <w:r w:rsidRPr="00C17F99">
        <w:rPr>
          <w:rFonts w:ascii="Arial Narrow" w:hAnsi="Arial Narrow" w:cs="Arial"/>
          <w:sz w:val="24"/>
          <w:szCs w:val="24"/>
        </w:rPr>
        <w:t xml:space="preserve"> with 12 states</w:t>
      </w:r>
      <w:r w:rsidR="00BE23F1" w:rsidRPr="00C17F99">
        <w:rPr>
          <w:rFonts w:ascii="Arial Narrow" w:hAnsi="Arial Narrow" w:cs="Arial"/>
          <w:sz w:val="24"/>
          <w:szCs w:val="24"/>
        </w:rPr>
        <w:t>:</w:t>
      </w:r>
    </w:p>
    <w:p w:rsidR="00221C51" w:rsidRPr="00C17F99" w:rsidRDefault="00221C51" w:rsidP="00BE23F1">
      <w:pPr>
        <w:pStyle w:val="NoSpacing"/>
        <w:numPr>
          <w:ilvl w:val="0"/>
          <w:numId w:val="15"/>
        </w:numPr>
        <w:tabs>
          <w:tab w:val="clear" w:pos="1440"/>
          <w:tab w:val="num" w:pos="720"/>
        </w:tabs>
        <w:ind w:left="720"/>
        <w:rPr>
          <w:rFonts w:ascii="Arial Narrow" w:hAnsi="Arial Narrow" w:cs="Arial"/>
          <w:sz w:val="24"/>
          <w:szCs w:val="24"/>
        </w:rPr>
      </w:pPr>
      <w:r w:rsidRPr="00C17F99">
        <w:rPr>
          <w:rFonts w:ascii="Arial Narrow" w:hAnsi="Arial Narrow" w:cs="Arial"/>
          <w:sz w:val="24"/>
          <w:szCs w:val="24"/>
        </w:rPr>
        <w:t xml:space="preserve">Northern Region was broken into 5 </w:t>
      </w:r>
    </w:p>
    <w:p w:rsidR="00221C51" w:rsidRPr="00C17F99" w:rsidRDefault="00221C51" w:rsidP="00BE23F1">
      <w:pPr>
        <w:pStyle w:val="NoSpacing"/>
        <w:numPr>
          <w:ilvl w:val="0"/>
          <w:numId w:val="15"/>
        </w:numPr>
        <w:tabs>
          <w:tab w:val="clear" w:pos="1440"/>
          <w:tab w:val="num" w:pos="720"/>
        </w:tabs>
        <w:ind w:left="720"/>
        <w:rPr>
          <w:rFonts w:ascii="Arial Narrow" w:hAnsi="Arial Narrow" w:cs="Arial"/>
          <w:sz w:val="24"/>
          <w:szCs w:val="24"/>
        </w:rPr>
      </w:pPr>
      <w:r w:rsidRPr="00C17F99">
        <w:rPr>
          <w:rFonts w:ascii="Arial Narrow" w:hAnsi="Arial Narrow" w:cs="Arial"/>
          <w:sz w:val="24"/>
          <w:szCs w:val="24"/>
        </w:rPr>
        <w:t>Western and Eastern regions divided into 3 states each</w:t>
      </w:r>
    </w:p>
    <w:p w:rsidR="00221C51" w:rsidRPr="00C17F99" w:rsidRDefault="00221C51" w:rsidP="00BE23F1">
      <w:pPr>
        <w:pStyle w:val="NoSpacing"/>
        <w:numPr>
          <w:ilvl w:val="0"/>
          <w:numId w:val="15"/>
        </w:numPr>
        <w:tabs>
          <w:tab w:val="clear" w:pos="1440"/>
          <w:tab w:val="num" w:pos="720"/>
        </w:tabs>
        <w:ind w:left="720"/>
        <w:rPr>
          <w:rFonts w:ascii="Arial Narrow" w:hAnsi="Arial Narrow" w:cs="Arial"/>
          <w:sz w:val="24"/>
          <w:szCs w:val="24"/>
        </w:rPr>
      </w:pPr>
      <w:r w:rsidRPr="00C17F99">
        <w:rPr>
          <w:rFonts w:ascii="Arial Narrow" w:hAnsi="Arial Narrow" w:cs="Arial"/>
          <w:sz w:val="24"/>
          <w:szCs w:val="24"/>
        </w:rPr>
        <w:t>Only the Midwest Region (</w:t>
      </w:r>
      <w:proofErr w:type="spellStart"/>
      <w:r w:rsidRPr="00C17F99">
        <w:rPr>
          <w:rFonts w:ascii="Arial Narrow" w:hAnsi="Arial Narrow" w:cs="Arial"/>
          <w:sz w:val="24"/>
          <w:szCs w:val="24"/>
        </w:rPr>
        <w:t>Bendel</w:t>
      </w:r>
      <w:proofErr w:type="spellEnd"/>
      <w:r w:rsidRPr="00C17F99">
        <w:rPr>
          <w:rFonts w:ascii="Arial Narrow" w:hAnsi="Arial Narrow" w:cs="Arial"/>
          <w:sz w:val="24"/>
          <w:szCs w:val="24"/>
        </w:rPr>
        <w:t xml:space="preserve"> State) survived</w:t>
      </w:r>
      <w:r w:rsidR="00A71A52" w:rsidRPr="00C17F99">
        <w:rPr>
          <w:rFonts w:ascii="Arial Narrow" w:hAnsi="Arial Narrow" w:cs="Arial"/>
          <w:sz w:val="24"/>
          <w:szCs w:val="24"/>
        </w:rPr>
        <w:t>.</w:t>
      </w:r>
    </w:p>
    <w:p w:rsidR="00A71A52" w:rsidRPr="00C17F99" w:rsidRDefault="00A71A52" w:rsidP="00BE23F1">
      <w:pPr>
        <w:suppressAutoHyphens w:val="0"/>
        <w:spacing w:line="240" w:lineRule="auto"/>
        <w:jc w:val="both"/>
        <w:rPr>
          <w:rFonts w:ascii="Arial Narrow" w:hAnsi="Arial Narrow" w:cs="Arial"/>
          <w:sz w:val="24"/>
          <w:szCs w:val="24"/>
        </w:rPr>
      </w:pPr>
    </w:p>
    <w:p w:rsidR="00221C51" w:rsidRPr="00C17F99" w:rsidRDefault="00BE23F1" w:rsidP="00BE23F1">
      <w:pPr>
        <w:suppressAutoHyphens w:val="0"/>
        <w:spacing w:line="240" w:lineRule="auto"/>
        <w:jc w:val="both"/>
        <w:rPr>
          <w:rFonts w:ascii="Arial Narrow" w:hAnsi="Arial Narrow" w:cs="Arial"/>
          <w:sz w:val="24"/>
          <w:szCs w:val="24"/>
        </w:rPr>
      </w:pPr>
      <w:r w:rsidRPr="00C17F99">
        <w:rPr>
          <w:rFonts w:ascii="Arial Narrow" w:hAnsi="Arial Narrow" w:cs="Arial"/>
          <w:sz w:val="24"/>
          <w:szCs w:val="24"/>
        </w:rPr>
        <w:t>Fiscal bases of states became</w:t>
      </w:r>
      <w:r w:rsidR="00221C51" w:rsidRPr="00C17F99">
        <w:rPr>
          <w:rFonts w:ascii="Arial Narrow" w:hAnsi="Arial Narrow" w:cs="Arial"/>
          <w:sz w:val="24"/>
          <w:szCs w:val="24"/>
        </w:rPr>
        <w:t xml:space="preserve"> smaller than their mother regions</w:t>
      </w:r>
      <w:r w:rsidRPr="00C17F99">
        <w:rPr>
          <w:rFonts w:ascii="Arial Narrow" w:hAnsi="Arial Narrow" w:cs="Arial"/>
          <w:sz w:val="24"/>
          <w:szCs w:val="24"/>
        </w:rPr>
        <w:t xml:space="preserve">; </w:t>
      </w:r>
      <w:r w:rsidR="00221C51" w:rsidRPr="00C17F99">
        <w:rPr>
          <w:rFonts w:ascii="Arial Narrow" w:hAnsi="Arial Narrow" w:cs="Arial"/>
          <w:sz w:val="24"/>
          <w:szCs w:val="24"/>
        </w:rPr>
        <w:t>Smaller land mass, population and fiscal &amp; administrative propensities</w:t>
      </w:r>
      <w:r w:rsidRPr="00C17F99">
        <w:rPr>
          <w:rFonts w:ascii="Arial Narrow" w:hAnsi="Arial Narrow" w:cs="Arial"/>
          <w:sz w:val="24"/>
          <w:szCs w:val="24"/>
        </w:rPr>
        <w:t xml:space="preserve"> but with s</w:t>
      </w:r>
      <w:r w:rsidR="00221C51" w:rsidRPr="00C17F99">
        <w:rPr>
          <w:rFonts w:ascii="Arial Narrow" w:hAnsi="Arial Narrow" w:cs="Arial"/>
          <w:sz w:val="24"/>
          <w:szCs w:val="24"/>
        </w:rPr>
        <w:t>ame responsibilities but shrinking resources, revenue bases, and administrative capacities</w:t>
      </w:r>
      <w:r w:rsidRPr="00C17F99">
        <w:rPr>
          <w:rFonts w:ascii="Arial Narrow" w:hAnsi="Arial Narrow" w:cs="Arial"/>
          <w:sz w:val="24"/>
          <w:szCs w:val="24"/>
        </w:rPr>
        <w:t>.</w:t>
      </w:r>
      <w:r w:rsidR="00221C51" w:rsidRPr="00C17F99">
        <w:rPr>
          <w:rFonts w:ascii="Arial Narrow" w:hAnsi="Arial Narrow" w:cs="Arial"/>
          <w:sz w:val="24"/>
          <w:szCs w:val="24"/>
        </w:rPr>
        <w:t xml:space="preserve">  </w:t>
      </w:r>
    </w:p>
    <w:p w:rsidR="002653E3" w:rsidRPr="00C17F99" w:rsidRDefault="00BE23F1" w:rsidP="00A71A52">
      <w:pPr>
        <w:suppressAutoHyphens w:val="0"/>
        <w:spacing w:line="240" w:lineRule="auto"/>
        <w:jc w:val="both"/>
        <w:rPr>
          <w:rFonts w:ascii="Arial Narrow" w:hAnsi="Arial Narrow" w:cs="Arial"/>
          <w:sz w:val="24"/>
          <w:szCs w:val="24"/>
        </w:rPr>
      </w:pPr>
      <w:r w:rsidRPr="00C17F99">
        <w:rPr>
          <w:rFonts w:ascii="Arial Narrow" w:hAnsi="Arial Narrow" w:cs="Arial"/>
          <w:sz w:val="24"/>
          <w:szCs w:val="24"/>
        </w:rPr>
        <w:t>Thereafter, f</w:t>
      </w:r>
      <w:r w:rsidR="00221C51" w:rsidRPr="00C17F99">
        <w:rPr>
          <w:rFonts w:ascii="Arial Narrow" w:hAnsi="Arial Narrow" w:cs="Arial"/>
          <w:sz w:val="24"/>
          <w:szCs w:val="24"/>
        </w:rPr>
        <w:t>iscal arrangement through series of constitutional amendments</w:t>
      </w:r>
      <w:r w:rsidR="003778A4" w:rsidRPr="00C17F99">
        <w:rPr>
          <w:rFonts w:ascii="Arial Narrow" w:hAnsi="Arial Narrow" w:cs="Arial"/>
          <w:sz w:val="24"/>
          <w:szCs w:val="24"/>
        </w:rPr>
        <w:t xml:space="preserve"> generated </w:t>
      </w:r>
      <w:r w:rsidR="00221C51" w:rsidRPr="00C17F99">
        <w:rPr>
          <w:rFonts w:ascii="Arial Narrow" w:hAnsi="Arial Narrow" w:cs="Arial"/>
          <w:sz w:val="24"/>
          <w:szCs w:val="24"/>
        </w:rPr>
        <w:t xml:space="preserve">fiscal deficits </w:t>
      </w:r>
      <w:r w:rsidR="003778A4" w:rsidRPr="00C17F99">
        <w:rPr>
          <w:rFonts w:ascii="Arial Narrow" w:hAnsi="Arial Narrow" w:cs="Arial"/>
          <w:sz w:val="24"/>
          <w:szCs w:val="24"/>
        </w:rPr>
        <w:t>with attendant complaints</w:t>
      </w:r>
      <w:r w:rsidR="00221C51" w:rsidRPr="00C17F99">
        <w:rPr>
          <w:rFonts w:ascii="Arial Narrow" w:hAnsi="Arial Narrow" w:cs="Arial"/>
          <w:sz w:val="24"/>
          <w:szCs w:val="24"/>
        </w:rPr>
        <w:t xml:space="preserve"> arising from different sources</w:t>
      </w:r>
      <w:r w:rsidR="00A71A52" w:rsidRPr="00C17F99">
        <w:rPr>
          <w:rFonts w:ascii="Arial Narrow" w:hAnsi="Arial Narrow" w:cs="Arial"/>
          <w:sz w:val="24"/>
          <w:szCs w:val="24"/>
        </w:rPr>
        <w:t>. Some S</w:t>
      </w:r>
      <w:r w:rsidR="00221C51" w:rsidRPr="00C17F99">
        <w:rPr>
          <w:rFonts w:ascii="Arial Narrow" w:hAnsi="Arial Narrow" w:cs="Arial"/>
          <w:sz w:val="24"/>
          <w:szCs w:val="24"/>
        </w:rPr>
        <w:t xml:space="preserve">tates </w:t>
      </w:r>
      <w:r w:rsidR="00A71A52" w:rsidRPr="00C17F99">
        <w:rPr>
          <w:rFonts w:ascii="Arial Narrow" w:hAnsi="Arial Narrow" w:cs="Arial"/>
          <w:sz w:val="24"/>
          <w:szCs w:val="24"/>
        </w:rPr>
        <w:t>became</w:t>
      </w:r>
      <w:r w:rsidR="00221C51" w:rsidRPr="00C17F99">
        <w:rPr>
          <w:rFonts w:ascii="Arial Narrow" w:hAnsi="Arial Narrow" w:cs="Arial"/>
          <w:sz w:val="24"/>
          <w:szCs w:val="24"/>
        </w:rPr>
        <w:t xml:space="preserve"> fiscally weak </w:t>
      </w:r>
      <w:r w:rsidR="00A71A52" w:rsidRPr="00C17F99">
        <w:rPr>
          <w:rFonts w:ascii="Arial Narrow" w:hAnsi="Arial Narrow" w:cs="Arial"/>
          <w:sz w:val="24"/>
          <w:szCs w:val="24"/>
        </w:rPr>
        <w:t>and demanded</w:t>
      </w:r>
      <w:r w:rsidR="00221C51" w:rsidRPr="00C17F99">
        <w:rPr>
          <w:rFonts w:ascii="Arial Narrow" w:hAnsi="Arial Narrow" w:cs="Arial"/>
          <w:sz w:val="24"/>
          <w:szCs w:val="24"/>
        </w:rPr>
        <w:t xml:space="preserve"> more revenues</w:t>
      </w:r>
      <w:r w:rsidR="00A71A52" w:rsidRPr="00C17F99">
        <w:rPr>
          <w:rFonts w:ascii="Arial Narrow" w:hAnsi="Arial Narrow" w:cs="Arial"/>
          <w:sz w:val="24"/>
          <w:szCs w:val="24"/>
        </w:rPr>
        <w:t xml:space="preserve">. </w:t>
      </w:r>
      <w:proofErr w:type="gramStart"/>
      <w:r w:rsidR="00A71A52" w:rsidRPr="00C17F99">
        <w:rPr>
          <w:rFonts w:ascii="Arial Narrow" w:hAnsi="Arial Narrow" w:cs="Arial"/>
          <w:sz w:val="24"/>
          <w:szCs w:val="24"/>
        </w:rPr>
        <w:t>The w</w:t>
      </w:r>
      <w:r w:rsidR="00221C51" w:rsidRPr="00C17F99">
        <w:rPr>
          <w:rFonts w:ascii="Arial Narrow" w:hAnsi="Arial Narrow" w:cs="Arial"/>
          <w:sz w:val="24"/>
          <w:szCs w:val="24"/>
        </w:rPr>
        <w:t>eak administra</w:t>
      </w:r>
      <w:r w:rsidR="00A71A52" w:rsidRPr="00C17F99">
        <w:rPr>
          <w:rFonts w:ascii="Arial Narrow" w:hAnsi="Arial Narrow" w:cs="Arial"/>
          <w:sz w:val="24"/>
          <w:szCs w:val="24"/>
        </w:rPr>
        <w:t>tive and managerial abilities of some</w:t>
      </w:r>
      <w:r w:rsidR="00221C51" w:rsidRPr="00C17F99">
        <w:rPr>
          <w:rFonts w:ascii="Arial Narrow" w:hAnsi="Arial Narrow" w:cs="Arial"/>
          <w:sz w:val="24"/>
          <w:szCs w:val="24"/>
        </w:rPr>
        <w:t xml:space="preserve"> States</w:t>
      </w:r>
      <w:r w:rsidR="00A71A52" w:rsidRPr="00C17F99">
        <w:rPr>
          <w:rFonts w:ascii="Arial Narrow" w:hAnsi="Arial Narrow" w:cs="Arial"/>
          <w:sz w:val="24"/>
          <w:szCs w:val="24"/>
        </w:rPr>
        <w:t xml:space="preserve"> resulting from various fiscal reforms through f</w:t>
      </w:r>
      <w:r w:rsidR="00221C51" w:rsidRPr="00C17F99">
        <w:rPr>
          <w:rFonts w:ascii="Arial Narrow" w:hAnsi="Arial Narrow" w:cs="Arial"/>
          <w:sz w:val="24"/>
          <w:szCs w:val="24"/>
        </w:rPr>
        <w:t>urther centralization of state revenues into the DPA for collective sharing</w:t>
      </w:r>
      <w:r w:rsidR="00A71A52" w:rsidRPr="00C17F99">
        <w:rPr>
          <w:rFonts w:ascii="Arial Narrow" w:hAnsi="Arial Narrow" w:cs="Arial"/>
          <w:sz w:val="24"/>
          <w:szCs w:val="24"/>
        </w:rPr>
        <w:t>.</w:t>
      </w:r>
      <w:proofErr w:type="gramEnd"/>
      <w:r w:rsidR="00A71A52" w:rsidRPr="00C17F99">
        <w:rPr>
          <w:rFonts w:ascii="Arial Narrow" w:hAnsi="Arial Narrow" w:cs="Arial"/>
          <w:sz w:val="24"/>
          <w:szCs w:val="24"/>
        </w:rPr>
        <w:t xml:space="preserve"> The fiscal distress deepened in when 1</w:t>
      </w:r>
      <w:r w:rsidR="00221C51" w:rsidRPr="00C17F99">
        <w:rPr>
          <w:rFonts w:ascii="Arial Narrow" w:hAnsi="Arial Narrow" w:cs="Arial"/>
          <w:sz w:val="24"/>
          <w:szCs w:val="24"/>
        </w:rPr>
        <w:t>976 F</w:t>
      </w:r>
      <w:r w:rsidR="00A71A52" w:rsidRPr="00C17F99">
        <w:rPr>
          <w:rFonts w:ascii="Arial Narrow" w:hAnsi="Arial Narrow" w:cs="Arial"/>
          <w:sz w:val="24"/>
          <w:szCs w:val="24"/>
        </w:rPr>
        <w:t xml:space="preserve">ederal </w:t>
      </w:r>
      <w:r w:rsidR="00221C51" w:rsidRPr="00C17F99">
        <w:rPr>
          <w:rFonts w:ascii="Arial Narrow" w:hAnsi="Arial Narrow" w:cs="Arial"/>
          <w:sz w:val="24"/>
          <w:szCs w:val="24"/>
        </w:rPr>
        <w:t>G</w:t>
      </w:r>
      <w:r w:rsidR="00A71A52" w:rsidRPr="00C17F99">
        <w:rPr>
          <w:rFonts w:ascii="Arial Narrow" w:hAnsi="Arial Narrow" w:cs="Arial"/>
          <w:sz w:val="24"/>
          <w:szCs w:val="24"/>
        </w:rPr>
        <w:t>overnment reformed Local G</w:t>
      </w:r>
      <w:r w:rsidR="00221C51" w:rsidRPr="00C17F99">
        <w:rPr>
          <w:rFonts w:ascii="Arial Narrow" w:hAnsi="Arial Narrow" w:cs="Arial"/>
          <w:sz w:val="24"/>
          <w:szCs w:val="24"/>
        </w:rPr>
        <w:t xml:space="preserve">overnment </w:t>
      </w:r>
      <w:r w:rsidR="00A71A52" w:rsidRPr="00C17F99">
        <w:rPr>
          <w:rFonts w:ascii="Arial Narrow" w:hAnsi="Arial Narrow" w:cs="Arial"/>
          <w:sz w:val="24"/>
          <w:szCs w:val="24"/>
        </w:rPr>
        <w:t>and</w:t>
      </w:r>
      <w:r w:rsidR="00221C51" w:rsidRPr="00C17F99">
        <w:rPr>
          <w:rFonts w:ascii="Arial Narrow" w:hAnsi="Arial Narrow" w:cs="Arial"/>
          <w:sz w:val="24"/>
          <w:szCs w:val="24"/>
        </w:rPr>
        <w:t xml:space="preserve"> make them a separate tier of government with direct funding allocation from the DPA</w:t>
      </w:r>
      <w:r w:rsidR="008F5259" w:rsidRPr="00C17F99">
        <w:rPr>
          <w:rFonts w:ascii="Arial Narrow" w:hAnsi="Arial Narrow" w:cs="Arial"/>
          <w:sz w:val="24"/>
          <w:szCs w:val="24"/>
        </w:rPr>
        <w:t>.</w:t>
      </w:r>
    </w:p>
    <w:p w:rsidR="00A71A52" w:rsidRDefault="008B470C" w:rsidP="002653E3">
      <w:pPr>
        <w:spacing w:after="0" w:line="240" w:lineRule="auto"/>
        <w:jc w:val="both"/>
        <w:rPr>
          <w:rFonts w:ascii="Arial Narrow" w:hAnsi="Arial Narrow" w:cs="Arial"/>
          <w:b/>
          <w:sz w:val="24"/>
          <w:szCs w:val="24"/>
        </w:rPr>
      </w:pPr>
      <w:r>
        <w:rPr>
          <w:rFonts w:ascii="Arial Narrow" w:hAnsi="Arial Narrow" w:cs="Arial"/>
          <w:b/>
          <w:sz w:val="24"/>
          <w:szCs w:val="24"/>
        </w:rPr>
        <w:lastRenderedPageBreak/>
        <w:t>3.</w:t>
      </w:r>
      <w:r>
        <w:rPr>
          <w:rFonts w:ascii="Arial Narrow" w:hAnsi="Arial Narrow" w:cs="Arial"/>
          <w:b/>
          <w:sz w:val="24"/>
          <w:szCs w:val="24"/>
        </w:rPr>
        <w:tab/>
        <w:t>STATES’ IGR PERFORMANCE</w:t>
      </w:r>
      <w:r w:rsidR="00005F9D">
        <w:rPr>
          <w:rFonts w:ascii="Arial Narrow" w:hAnsi="Arial Narrow" w:cs="Arial"/>
          <w:b/>
          <w:sz w:val="24"/>
          <w:szCs w:val="24"/>
        </w:rPr>
        <w:t xml:space="preserve"> IN NIGERIA</w:t>
      </w:r>
    </w:p>
    <w:p w:rsidR="008B470C" w:rsidRPr="00083086" w:rsidRDefault="008B470C" w:rsidP="008B470C">
      <w:pPr>
        <w:spacing w:before="100" w:beforeAutospacing="1" w:after="100" w:afterAutospacing="1" w:line="240" w:lineRule="auto"/>
        <w:jc w:val="both"/>
        <w:textAlignment w:val="top"/>
        <w:rPr>
          <w:rFonts w:ascii="Arial Narrow" w:hAnsi="Arial Narrow"/>
          <w:color w:val="000000"/>
          <w:sz w:val="24"/>
          <w:szCs w:val="24"/>
        </w:rPr>
      </w:pPr>
      <w:r w:rsidRPr="00083086">
        <w:rPr>
          <w:rFonts w:ascii="Arial Narrow" w:hAnsi="Arial Narrow"/>
          <w:color w:val="000000"/>
          <w:sz w:val="24"/>
          <w:szCs w:val="24"/>
        </w:rPr>
        <w:t xml:space="preserve">Figures contained in the Central Bank of Nigeria (CBN) annual report for 2008 just published and obtained by THISDAY shows that the IGR of Lagos and </w:t>
      </w:r>
      <w:proofErr w:type="spellStart"/>
      <w:r w:rsidRPr="00083086">
        <w:rPr>
          <w:rFonts w:ascii="Arial Narrow" w:hAnsi="Arial Narrow"/>
          <w:color w:val="000000"/>
          <w:sz w:val="24"/>
          <w:szCs w:val="24"/>
        </w:rPr>
        <w:t>Sokoto</w:t>
      </w:r>
      <w:proofErr w:type="spellEnd"/>
      <w:r w:rsidRPr="00083086">
        <w:rPr>
          <w:rFonts w:ascii="Arial Narrow" w:hAnsi="Arial Narrow"/>
          <w:color w:val="000000"/>
          <w:sz w:val="24"/>
          <w:szCs w:val="24"/>
        </w:rPr>
        <w:t xml:space="preserve"> stood at N139.2 billion and N34.8 billion in 2008 respectively, while their allocations from federation account were N80.16 billion and N39.67 billion. </w:t>
      </w:r>
    </w:p>
    <w:p w:rsidR="008B470C" w:rsidRPr="00083086" w:rsidRDefault="008B470C" w:rsidP="008B470C">
      <w:pPr>
        <w:spacing w:before="100" w:beforeAutospacing="1" w:after="100" w:afterAutospacing="1" w:line="240" w:lineRule="auto"/>
        <w:jc w:val="both"/>
        <w:textAlignment w:val="top"/>
        <w:rPr>
          <w:rFonts w:ascii="Arial Narrow" w:hAnsi="Arial Narrow"/>
          <w:color w:val="000000"/>
          <w:sz w:val="24"/>
          <w:szCs w:val="24"/>
        </w:rPr>
      </w:pPr>
      <w:r w:rsidRPr="00083086">
        <w:rPr>
          <w:rFonts w:ascii="Arial Narrow" w:hAnsi="Arial Narrow"/>
          <w:color w:val="000000"/>
          <w:sz w:val="24"/>
          <w:szCs w:val="24"/>
        </w:rPr>
        <w:t xml:space="preserve">According to the report, the IGR by 36 states and FCTA was N441.1 billion representing 1.8 per cent of national gross domestic product (GDP) or total output of goods and services amounting N24 trillion at current basic prices. This contrasts with total IGR of the states and FCTA of N305.7 billion in 2007 representing 1.5 per cent of national GDP of N20.9 billion, a decrease of N3.2 trillion. </w:t>
      </w:r>
    </w:p>
    <w:p w:rsidR="008B470C" w:rsidRPr="00083086" w:rsidRDefault="008B470C" w:rsidP="008B470C">
      <w:pPr>
        <w:spacing w:before="100" w:beforeAutospacing="1" w:after="100" w:afterAutospacing="1" w:line="240" w:lineRule="auto"/>
        <w:jc w:val="both"/>
        <w:textAlignment w:val="top"/>
        <w:rPr>
          <w:rFonts w:ascii="Arial Narrow" w:hAnsi="Arial Narrow"/>
          <w:color w:val="000000"/>
          <w:sz w:val="24"/>
          <w:szCs w:val="24"/>
        </w:rPr>
      </w:pPr>
      <w:r w:rsidRPr="00083086">
        <w:rPr>
          <w:rFonts w:ascii="Arial Narrow" w:hAnsi="Arial Narrow"/>
          <w:color w:val="000000"/>
          <w:sz w:val="24"/>
          <w:szCs w:val="24"/>
        </w:rPr>
        <w:t xml:space="preserve">The CBN data further showed that the total revenue of the state governments and FCTA increased by 42.1 per cent to N2,934.8 billion or 12.2 per cent of GDP, compared with N2,065.4 billion or 9.9 per cent of GDP in 2007. The analysis of the sources of revenue indicated that allocations from the Federation Account (including the 13.0 per cent Derivation Fund and the drawdown for Budget Augmentation) was N1.709 billion or 58.2 per cent; VAT Pool Account, N198.1 billion or 6.8 per cent; IGR, N441.1 billion or 15.0 per cent; Stabilization Account N53.4 billion or 1.8 per cent; the share of excess crude account N354.1 billion or 12.1 per cent; and grants/others N179.0 billion or 6.1 per cent. </w:t>
      </w:r>
    </w:p>
    <w:p w:rsidR="008B470C" w:rsidRPr="00083086" w:rsidRDefault="008B470C" w:rsidP="008B470C">
      <w:pPr>
        <w:spacing w:before="100" w:beforeAutospacing="1" w:after="100" w:afterAutospacing="1" w:line="240" w:lineRule="auto"/>
        <w:jc w:val="both"/>
        <w:textAlignment w:val="top"/>
        <w:rPr>
          <w:rFonts w:ascii="Arial Narrow" w:hAnsi="Arial Narrow"/>
          <w:color w:val="000000"/>
          <w:sz w:val="24"/>
          <w:szCs w:val="24"/>
        </w:rPr>
      </w:pPr>
      <w:r w:rsidRPr="00083086">
        <w:rPr>
          <w:rFonts w:ascii="Arial Narrow" w:hAnsi="Arial Narrow"/>
          <w:color w:val="000000"/>
          <w:sz w:val="24"/>
          <w:szCs w:val="24"/>
        </w:rPr>
        <w:t xml:space="preserve">According to the report, the performance of the IGR improved over the level in 2007 as it increased from 1.5 to 1.8 per cent of GDP. States with relatively high performing indices included </w:t>
      </w:r>
      <w:proofErr w:type="spellStart"/>
      <w:r w:rsidRPr="00083086">
        <w:rPr>
          <w:rFonts w:ascii="Arial Narrow" w:hAnsi="Arial Narrow"/>
          <w:color w:val="000000"/>
          <w:sz w:val="24"/>
          <w:szCs w:val="24"/>
        </w:rPr>
        <w:t>Ogun</w:t>
      </w:r>
      <w:proofErr w:type="spellEnd"/>
      <w:r w:rsidRPr="00083086">
        <w:rPr>
          <w:rFonts w:ascii="Arial Narrow" w:hAnsi="Arial Narrow"/>
          <w:color w:val="000000"/>
          <w:sz w:val="24"/>
          <w:szCs w:val="24"/>
        </w:rPr>
        <w:t xml:space="preserve">, </w:t>
      </w:r>
      <w:proofErr w:type="spellStart"/>
      <w:r w:rsidRPr="00083086">
        <w:rPr>
          <w:rFonts w:ascii="Arial Narrow" w:hAnsi="Arial Narrow"/>
          <w:color w:val="000000"/>
          <w:sz w:val="24"/>
          <w:szCs w:val="24"/>
        </w:rPr>
        <w:t>Osun</w:t>
      </w:r>
      <w:proofErr w:type="spellEnd"/>
      <w:r w:rsidRPr="00083086">
        <w:rPr>
          <w:rFonts w:ascii="Arial Narrow" w:hAnsi="Arial Narrow"/>
          <w:color w:val="000000"/>
          <w:sz w:val="24"/>
          <w:szCs w:val="24"/>
        </w:rPr>
        <w:t xml:space="preserve">, Oyo, </w:t>
      </w:r>
      <w:proofErr w:type="spellStart"/>
      <w:r w:rsidRPr="00083086">
        <w:rPr>
          <w:rFonts w:ascii="Arial Narrow" w:hAnsi="Arial Narrow"/>
          <w:color w:val="000000"/>
          <w:sz w:val="24"/>
          <w:szCs w:val="24"/>
        </w:rPr>
        <w:t>Borno</w:t>
      </w:r>
      <w:proofErr w:type="spellEnd"/>
      <w:r w:rsidRPr="00083086">
        <w:rPr>
          <w:rFonts w:ascii="Arial Narrow" w:hAnsi="Arial Narrow"/>
          <w:color w:val="000000"/>
          <w:sz w:val="24"/>
          <w:szCs w:val="24"/>
        </w:rPr>
        <w:t xml:space="preserve">, </w:t>
      </w:r>
      <w:proofErr w:type="spellStart"/>
      <w:r w:rsidRPr="00083086">
        <w:rPr>
          <w:rFonts w:ascii="Arial Narrow" w:hAnsi="Arial Narrow"/>
          <w:color w:val="000000"/>
          <w:sz w:val="24"/>
          <w:szCs w:val="24"/>
        </w:rPr>
        <w:t>Ondo</w:t>
      </w:r>
      <w:proofErr w:type="spellEnd"/>
      <w:r w:rsidRPr="00083086">
        <w:rPr>
          <w:rFonts w:ascii="Arial Narrow" w:hAnsi="Arial Narrow"/>
          <w:color w:val="000000"/>
          <w:sz w:val="24"/>
          <w:szCs w:val="24"/>
        </w:rPr>
        <w:t xml:space="preserve">, FCTA, </w:t>
      </w:r>
      <w:proofErr w:type="spellStart"/>
      <w:r w:rsidRPr="00083086">
        <w:rPr>
          <w:rFonts w:ascii="Arial Narrow" w:hAnsi="Arial Narrow"/>
          <w:color w:val="000000"/>
          <w:sz w:val="24"/>
          <w:szCs w:val="24"/>
        </w:rPr>
        <w:t>Jigawa</w:t>
      </w:r>
      <w:proofErr w:type="spellEnd"/>
      <w:r w:rsidRPr="00083086">
        <w:rPr>
          <w:rFonts w:ascii="Arial Narrow" w:hAnsi="Arial Narrow"/>
          <w:color w:val="000000"/>
          <w:sz w:val="24"/>
          <w:szCs w:val="24"/>
        </w:rPr>
        <w:t xml:space="preserve">, Kaduna, </w:t>
      </w:r>
      <w:proofErr w:type="spellStart"/>
      <w:r w:rsidRPr="00083086">
        <w:rPr>
          <w:rFonts w:ascii="Arial Narrow" w:hAnsi="Arial Narrow"/>
          <w:color w:val="000000"/>
          <w:sz w:val="24"/>
          <w:szCs w:val="24"/>
        </w:rPr>
        <w:t>Kogi</w:t>
      </w:r>
      <w:proofErr w:type="spellEnd"/>
      <w:r w:rsidRPr="00083086">
        <w:rPr>
          <w:rFonts w:ascii="Arial Narrow" w:hAnsi="Arial Narrow"/>
          <w:color w:val="000000"/>
          <w:sz w:val="24"/>
          <w:szCs w:val="24"/>
        </w:rPr>
        <w:t xml:space="preserve">, </w:t>
      </w:r>
      <w:proofErr w:type="spellStart"/>
      <w:r w:rsidRPr="00083086">
        <w:rPr>
          <w:rFonts w:ascii="Arial Narrow" w:hAnsi="Arial Narrow"/>
          <w:color w:val="000000"/>
          <w:sz w:val="24"/>
          <w:szCs w:val="24"/>
        </w:rPr>
        <w:t>Anambra</w:t>
      </w:r>
      <w:proofErr w:type="spellEnd"/>
      <w:r w:rsidRPr="00083086">
        <w:rPr>
          <w:rFonts w:ascii="Arial Narrow" w:hAnsi="Arial Narrow"/>
          <w:color w:val="000000"/>
          <w:sz w:val="24"/>
          <w:szCs w:val="24"/>
        </w:rPr>
        <w:t xml:space="preserve">, Kwara, Kano, </w:t>
      </w:r>
      <w:proofErr w:type="spellStart"/>
      <w:r w:rsidRPr="00083086">
        <w:rPr>
          <w:rFonts w:ascii="Arial Narrow" w:hAnsi="Arial Narrow"/>
          <w:color w:val="000000"/>
          <w:sz w:val="24"/>
          <w:szCs w:val="24"/>
        </w:rPr>
        <w:t>Gombe</w:t>
      </w:r>
      <w:proofErr w:type="spellEnd"/>
      <w:r w:rsidRPr="00083086">
        <w:rPr>
          <w:rFonts w:ascii="Arial Narrow" w:hAnsi="Arial Narrow"/>
          <w:color w:val="000000"/>
          <w:sz w:val="24"/>
          <w:szCs w:val="24"/>
        </w:rPr>
        <w:t xml:space="preserve">, Edo, </w:t>
      </w:r>
      <w:proofErr w:type="spellStart"/>
      <w:r w:rsidRPr="00083086">
        <w:rPr>
          <w:rFonts w:ascii="Arial Narrow" w:hAnsi="Arial Narrow"/>
          <w:color w:val="000000"/>
          <w:sz w:val="24"/>
          <w:szCs w:val="24"/>
        </w:rPr>
        <w:t>Abia</w:t>
      </w:r>
      <w:proofErr w:type="spellEnd"/>
      <w:r w:rsidRPr="00083086">
        <w:rPr>
          <w:rFonts w:ascii="Arial Narrow" w:hAnsi="Arial Narrow"/>
          <w:color w:val="000000"/>
          <w:sz w:val="24"/>
          <w:szCs w:val="24"/>
        </w:rPr>
        <w:t xml:space="preserve"> and Rivers which recorded 10 per cent and above in their IGR. </w:t>
      </w:r>
    </w:p>
    <w:p w:rsidR="008B470C" w:rsidRPr="00083086" w:rsidRDefault="008B470C" w:rsidP="008B470C">
      <w:pPr>
        <w:spacing w:before="100" w:beforeAutospacing="1" w:after="100" w:afterAutospacing="1" w:line="240" w:lineRule="auto"/>
        <w:jc w:val="both"/>
        <w:textAlignment w:val="top"/>
        <w:rPr>
          <w:rFonts w:ascii="Arial Narrow" w:hAnsi="Arial Narrow"/>
          <w:color w:val="000000"/>
          <w:sz w:val="24"/>
          <w:szCs w:val="24"/>
        </w:rPr>
      </w:pPr>
      <w:r w:rsidRPr="00083086">
        <w:rPr>
          <w:rFonts w:ascii="Arial Narrow" w:hAnsi="Arial Narrow"/>
          <w:color w:val="000000"/>
          <w:sz w:val="24"/>
          <w:szCs w:val="24"/>
        </w:rPr>
        <w:t xml:space="preserve">However, </w:t>
      </w:r>
      <w:proofErr w:type="spellStart"/>
      <w:r w:rsidRPr="00083086">
        <w:rPr>
          <w:rFonts w:ascii="Arial Narrow" w:hAnsi="Arial Narrow"/>
          <w:color w:val="000000"/>
          <w:sz w:val="24"/>
          <w:szCs w:val="24"/>
        </w:rPr>
        <w:t>Taraba</w:t>
      </w:r>
      <w:proofErr w:type="spellEnd"/>
      <w:r w:rsidRPr="00083086">
        <w:rPr>
          <w:rFonts w:ascii="Arial Narrow" w:hAnsi="Arial Narrow"/>
          <w:color w:val="000000"/>
          <w:sz w:val="24"/>
          <w:szCs w:val="24"/>
        </w:rPr>
        <w:t xml:space="preserve"> State, which generated only N1.3 billion (2.3 per cent) from internal sources occupied the lowest rung of the ladder, followed by 12 other states with reve</w:t>
      </w:r>
      <w:r>
        <w:rPr>
          <w:rFonts w:ascii="Arial Narrow" w:hAnsi="Arial Narrow"/>
          <w:color w:val="000000"/>
          <w:sz w:val="24"/>
          <w:szCs w:val="24"/>
        </w:rPr>
        <w:t>nue percentages lower than 10. S</w:t>
      </w:r>
      <w:r w:rsidRPr="00083086">
        <w:rPr>
          <w:rFonts w:ascii="Arial Narrow" w:hAnsi="Arial Narrow"/>
          <w:color w:val="000000"/>
          <w:sz w:val="24"/>
          <w:szCs w:val="24"/>
        </w:rPr>
        <w:t xml:space="preserve">tates such as Niger, Delta, Imo, </w:t>
      </w:r>
      <w:proofErr w:type="spellStart"/>
      <w:r w:rsidRPr="00083086">
        <w:rPr>
          <w:rFonts w:ascii="Arial Narrow" w:hAnsi="Arial Narrow"/>
          <w:color w:val="000000"/>
          <w:sz w:val="24"/>
          <w:szCs w:val="24"/>
        </w:rPr>
        <w:t>Kebbi</w:t>
      </w:r>
      <w:proofErr w:type="spellEnd"/>
      <w:r w:rsidRPr="00083086">
        <w:rPr>
          <w:rFonts w:ascii="Arial Narrow" w:hAnsi="Arial Narrow"/>
          <w:color w:val="000000"/>
          <w:sz w:val="24"/>
          <w:szCs w:val="24"/>
        </w:rPr>
        <w:t xml:space="preserve">, Cross River, </w:t>
      </w:r>
      <w:proofErr w:type="spellStart"/>
      <w:r w:rsidRPr="00083086">
        <w:rPr>
          <w:rFonts w:ascii="Arial Narrow" w:hAnsi="Arial Narrow"/>
          <w:color w:val="000000"/>
          <w:sz w:val="24"/>
          <w:szCs w:val="24"/>
        </w:rPr>
        <w:t>Zamfara</w:t>
      </w:r>
      <w:proofErr w:type="spellEnd"/>
      <w:r w:rsidRPr="00083086">
        <w:rPr>
          <w:rFonts w:ascii="Arial Narrow" w:hAnsi="Arial Narrow"/>
          <w:color w:val="000000"/>
          <w:sz w:val="24"/>
          <w:szCs w:val="24"/>
        </w:rPr>
        <w:t xml:space="preserve">, Enugu, Plateau, </w:t>
      </w:r>
      <w:proofErr w:type="spellStart"/>
      <w:r w:rsidRPr="00083086">
        <w:rPr>
          <w:rFonts w:ascii="Arial Narrow" w:hAnsi="Arial Narrow"/>
          <w:color w:val="000000"/>
          <w:sz w:val="24"/>
          <w:szCs w:val="24"/>
        </w:rPr>
        <w:t>Nassarawa</w:t>
      </w:r>
      <w:proofErr w:type="spellEnd"/>
      <w:r w:rsidRPr="00083086">
        <w:rPr>
          <w:rFonts w:ascii="Arial Narrow" w:hAnsi="Arial Narrow"/>
          <w:color w:val="000000"/>
          <w:sz w:val="24"/>
          <w:szCs w:val="24"/>
        </w:rPr>
        <w:t xml:space="preserve">, </w:t>
      </w:r>
      <w:proofErr w:type="spellStart"/>
      <w:r w:rsidRPr="00083086">
        <w:rPr>
          <w:rFonts w:ascii="Arial Narrow" w:hAnsi="Arial Narrow"/>
          <w:color w:val="000000"/>
          <w:sz w:val="24"/>
          <w:szCs w:val="24"/>
        </w:rPr>
        <w:t>Ebonyi</w:t>
      </w:r>
      <w:proofErr w:type="spellEnd"/>
      <w:r w:rsidRPr="00083086">
        <w:rPr>
          <w:rFonts w:ascii="Arial Narrow" w:hAnsi="Arial Narrow"/>
          <w:color w:val="000000"/>
          <w:sz w:val="24"/>
          <w:szCs w:val="24"/>
        </w:rPr>
        <w:t xml:space="preserve">, </w:t>
      </w:r>
      <w:proofErr w:type="spellStart"/>
      <w:r w:rsidRPr="00083086">
        <w:rPr>
          <w:rFonts w:ascii="Arial Narrow" w:hAnsi="Arial Narrow"/>
          <w:color w:val="000000"/>
          <w:sz w:val="24"/>
          <w:szCs w:val="24"/>
        </w:rPr>
        <w:t>Bayelsa</w:t>
      </w:r>
      <w:proofErr w:type="spellEnd"/>
      <w:r w:rsidRPr="00083086">
        <w:rPr>
          <w:rFonts w:ascii="Arial Narrow" w:hAnsi="Arial Narrow"/>
          <w:color w:val="000000"/>
          <w:sz w:val="24"/>
          <w:szCs w:val="24"/>
        </w:rPr>
        <w:t xml:space="preserve">, Adamawa, </w:t>
      </w:r>
      <w:proofErr w:type="spellStart"/>
      <w:r w:rsidRPr="00083086">
        <w:rPr>
          <w:rFonts w:ascii="Arial Narrow" w:hAnsi="Arial Narrow"/>
          <w:color w:val="000000"/>
          <w:sz w:val="24"/>
          <w:szCs w:val="24"/>
        </w:rPr>
        <w:t>Akwa</w:t>
      </w:r>
      <w:proofErr w:type="spellEnd"/>
      <w:r w:rsidRPr="00083086">
        <w:rPr>
          <w:rFonts w:ascii="Arial Narrow" w:hAnsi="Arial Narrow"/>
          <w:color w:val="000000"/>
          <w:sz w:val="24"/>
          <w:szCs w:val="24"/>
        </w:rPr>
        <w:t xml:space="preserve"> </w:t>
      </w:r>
      <w:proofErr w:type="spellStart"/>
      <w:r w:rsidRPr="00083086">
        <w:rPr>
          <w:rFonts w:ascii="Arial Narrow" w:hAnsi="Arial Narrow"/>
          <w:color w:val="000000"/>
          <w:sz w:val="24"/>
          <w:szCs w:val="24"/>
        </w:rPr>
        <w:t>Ibom</w:t>
      </w:r>
      <w:proofErr w:type="spellEnd"/>
      <w:r w:rsidRPr="00083086">
        <w:rPr>
          <w:rFonts w:ascii="Arial Narrow" w:hAnsi="Arial Narrow"/>
          <w:color w:val="000000"/>
          <w:sz w:val="24"/>
          <w:szCs w:val="24"/>
        </w:rPr>
        <w:t xml:space="preserve">, </w:t>
      </w:r>
      <w:proofErr w:type="spellStart"/>
      <w:r w:rsidRPr="00083086">
        <w:rPr>
          <w:rFonts w:ascii="Arial Narrow" w:hAnsi="Arial Narrow"/>
          <w:color w:val="000000"/>
          <w:sz w:val="24"/>
          <w:szCs w:val="24"/>
        </w:rPr>
        <w:t>Katsina</w:t>
      </w:r>
      <w:proofErr w:type="spellEnd"/>
      <w:r w:rsidRPr="00083086">
        <w:rPr>
          <w:rFonts w:ascii="Arial Narrow" w:hAnsi="Arial Narrow"/>
          <w:color w:val="000000"/>
          <w:sz w:val="24"/>
          <w:szCs w:val="24"/>
        </w:rPr>
        <w:t xml:space="preserve">, Benue, </w:t>
      </w:r>
      <w:proofErr w:type="spellStart"/>
      <w:r w:rsidRPr="00083086">
        <w:rPr>
          <w:rFonts w:ascii="Arial Narrow" w:hAnsi="Arial Narrow"/>
          <w:color w:val="000000"/>
          <w:sz w:val="24"/>
          <w:szCs w:val="24"/>
        </w:rPr>
        <w:t>Bauchi</w:t>
      </w:r>
      <w:proofErr w:type="spellEnd"/>
      <w:r w:rsidRPr="00083086">
        <w:rPr>
          <w:rFonts w:ascii="Arial Narrow" w:hAnsi="Arial Narrow"/>
          <w:color w:val="000000"/>
          <w:sz w:val="24"/>
          <w:szCs w:val="24"/>
        </w:rPr>
        <w:t xml:space="preserve"> and </w:t>
      </w:r>
      <w:proofErr w:type="spellStart"/>
      <w:r w:rsidRPr="00083086">
        <w:rPr>
          <w:rFonts w:ascii="Arial Narrow" w:hAnsi="Arial Narrow"/>
          <w:color w:val="000000"/>
          <w:sz w:val="24"/>
          <w:szCs w:val="24"/>
        </w:rPr>
        <w:t>Yobe</w:t>
      </w:r>
      <w:proofErr w:type="spellEnd"/>
      <w:r w:rsidRPr="00083086">
        <w:rPr>
          <w:rFonts w:ascii="Arial Narrow" w:hAnsi="Arial Narrow"/>
          <w:color w:val="000000"/>
          <w:sz w:val="24"/>
          <w:szCs w:val="24"/>
        </w:rPr>
        <w:t xml:space="preserve"> were among those which relied heavily on federally allocated revenue for its fiscal operations in 2008. </w:t>
      </w:r>
    </w:p>
    <w:p w:rsidR="008B470C" w:rsidRPr="00C17F99" w:rsidRDefault="008B470C" w:rsidP="002653E3">
      <w:pPr>
        <w:spacing w:after="0" w:line="240" w:lineRule="auto"/>
        <w:jc w:val="both"/>
        <w:rPr>
          <w:rFonts w:ascii="Arial Narrow" w:hAnsi="Arial Narrow" w:cs="Arial"/>
          <w:b/>
          <w:sz w:val="24"/>
          <w:szCs w:val="24"/>
        </w:rPr>
      </w:pPr>
    </w:p>
    <w:p w:rsidR="00806668" w:rsidRPr="00C17F99" w:rsidRDefault="008B470C" w:rsidP="002653E3">
      <w:pPr>
        <w:spacing w:after="0" w:line="240" w:lineRule="auto"/>
        <w:jc w:val="both"/>
        <w:rPr>
          <w:rFonts w:ascii="Arial Narrow" w:hAnsi="Arial Narrow" w:cs="Arial"/>
          <w:b/>
          <w:sz w:val="24"/>
          <w:szCs w:val="24"/>
        </w:rPr>
      </w:pPr>
      <w:r>
        <w:rPr>
          <w:rFonts w:ascii="Arial Narrow" w:hAnsi="Arial Narrow" w:cs="Arial"/>
          <w:b/>
          <w:sz w:val="24"/>
          <w:szCs w:val="24"/>
        </w:rPr>
        <w:t>4</w:t>
      </w:r>
      <w:r w:rsidR="0048311E">
        <w:rPr>
          <w:rFonts w:ascii="Arial Narrow" w:hAnsi="Arial Narrow" w:cs="Arial"/>
          <w:b/>
          <w:sz w:val="24"/>
          <w:szCs w:val="24"/>
        </w:rPr>
        <w:t>.</w:t>
      </w:r>
      <w:r w:rsidR="0048311E">
        <w:rPr>
          <w:rFonts w:ascii="Arial Narrow" w:hAnsi="Arial Narrow" w:cs="Arial"/>
          <w:b/>
          <w:sz w:val="24"/>
          <w:szCs w:val="24"/>
        </w:rPr>
        <w:tab/>
      </w:r>
      <w:r w:rsidR="008F5259" w:rsidRPr="00C17F99">
        <w:rPr>
          <w:rFonts w:ascii="Arial Narrow" w:hAnsi="Arial Narrow" w:cs="Arial"/>
          <w:b/>
          <w:sz w:val="24"/>
          <w:szCs w:val="24"/>
        </w:rPr>
        <w:t>CROSS RIVER STATE REVENUE PROFILE</w:t>
      </w:r>
    </w:p>
    <w:p w:rsidR="00806668" w:rsidRPr="00C17F99" w:rsidRDefault="00806668" w:rsidP="002653E3">
      <w:pPr>
        <w:spacing w:after="0" w:line="240" w:lineRule="auto"/>
        <w:jc w:val="both"/>
        <w:rPr>
          <w:rFonts w:ascii="Arial Narrow" w:hAnsi="Arial Narrow" w:cs="Arial"/>
          <w:b/>
          <w:sz w:val="24"/>
          <w:szCs w:val="24"/>
        </w:rPr>
      </w:pPr>
    </w:p>
    <w:p w:rsidR="00EA6641" w:rsidRPr="00C17F99" w:rsidRDefault="008F5259" w:rsidP="002653E3">
      <w:pPr>
        <w:spacing w:after="0" w:line="240" w:lineRule="auto"/>
        <w:jc w:val="both"/>
        <w:rPr>
          <w:rFonts w:ascii="Arial Narrow" w:hAnsi="Arial Narrow" w:cs="Arial"/>
          <w:sz w:val="24"/>
          <w:szCs w:val="24"/>
        </w:rPr>
      </w:pPr>
      <w:r w:rsidRPr="00C17F99">
        <w:rPr>
          <w:rFonts w:ascii="Arial Narrow" w:hAnsi="Arial Narrow" w:cs="Arial"/>
          <w:sz w:val="24"/>
          <w:szCs w:val="24"/>
        </w:rPr>
        <w:t xml:space="preserve">Today, Cross River State is one of the 36 States in Nigeria that was created out of the then Eastern Region. </w:t>
      </w:r>
      <w:r w:rsidR="00852EBE" w:rsidRPr="00C17F99">
        <w:rPr>
          <w:rFonts w:ascii="Arial Narrow" w:hAnsi="Arial Narrow" w:cs="Arial"/>
          <w:sz w:val="24"/>
          <w:szCs w:val="24"/>
        </w:rPr>
        <w:t>F</w:t>
      </w:r>
      <w:r w:rsidR="00806668" w:rsidRPr="00C17F99">
        <w:rPr>
          <w:rFonts w:ascii="Arial Narrow" w:hAnsi="Arial Narrow" w:cs="Arial"/>
          <w:sz w:val="24"/>
          <w:szCs w:val="24"/>
        </w:rPr>
        <w:t>ina</w:t>
      </w:r>
      <w:r w:rsidR="00852EBE" w:rsidRPr="00C17F99">
        <w:rPr>
          <w:rFonts w:ascii="Arial Narrow" w:hAnsi="Arial Narrow" w:cs="Arial"/>
          <w:sz w:val="24"/>
          <w:szCs w:val="24"/>
        </w:rPr>
        <w:t>ncial resources available to Cross River State are mainly</w:t>
      </w:r>
      <w:r w:rsidR="00806668" w:rsidRPr="00C17F99">
        <w:rPr>
          <w:rFonts w:ascii="Arial Narrow" w:hAnsi="Arial Narrow" w:cs="Arial"/>
          <w:sz w:val="24"/>
          <w:szCs w:val="24"/>
        </w:rPr>
        <w:t xml:space="preserve"> from four sources</w:t>
      </w:r>
      <w:r w:rsidR="00852EBE" w:rsidRPr="00C17F99">
        <w:rPr>
          <w:rFonts w:ascii="Arial Narrow" w:hAnsi="Arial Narrow" w:cs="Arial"/>
          <w:sz w:val="24"/>
          <w:szCs w:val="24"/>
        </w:rPr>
        <w:t>;</w:t>
      </w:r>
      <w:r w:rsidR="00806668" w:rsidRPr="00C17F99">
        <w:rPr>
          <w:rFonts w:ascii="Arial Narrow" w:hAnsi="Arial Narrow" w:cs="Arial"/>
          <w:sz w:val="24"/>
          <w:szCs w:val="24"/>
        </w:rPr>
        <w:t xml:space="preserve"> namely, </w:t>
      </w:r>
      <w:proofErr w:type="spellStart"/>
      <w:r w:rsidR="00806668" w:rsidRPr="00C17F99">
        <w:rPr>
          <w:rFonts w:ascii="Arial Narrow" w:hAnsi="Arial Narrow" w:cs="Arial"/>
          <w:sz w:val="24"/>
          <w:szCs w:val="24"/>
        </w:rPr>
        <w:t>accruable</w:t>
      </w:r>
      <w:r w:rsidR="00852EBE" w:rsidRPr="00C17F99">
        <w:rPr>
          <w:rFonts w:ascii="Arial Narrow" w:hAnsi="Arial Narrow" w:cs="Arial"/>
          <w:sz w:val="24"/>
          <w:szCs w:val="24"/>
        </w:rPr>
        <w:t>s</w:t>
      </w:r>
      <w:proofErr w:type="spellEnd"/>
      <w:r w:rsidR="00806668" w:rsidRPr="00C17F99">
        <w:rPr>
          <w:rFonts w:ascii="Arial Narrow" w:hAnsi="Arial Narrow" w:cs="Arial"/>
          <w:sz w:val="24"/>
          <w:szCs w:val="24"/>
        </w:rPr>
        <w:t xml:space="preserve"> from FAAC, IGR, Value Added Tax (VAT), and remittances and other capital receipts. The State also receives grants, aids, and loans from development partners to supplement these major sources of revenue. FAAC accounts for over 80 percent of the State’s revenue, followed by IGR, which accounts for about 12 percent. Table 1 shows projected and actual revenue from FAAC and IGR, 1999 – 2008. As indicated below, the average forecasting performance of IGR and FAAC for 1999 – 2008 shows 98.21 percent for IGR, and 115.55 percent for FAAC. But situations changed in 2009 as indicated in the half-year poor IGR performance (31.34 percent).</w:t>
      </w:r>
    </w:p>
    <w:p w:rsidR="000E46C2" w:rsidRPr="00C17F99" w:rsidRDefault="000E46C2" w:rsidP="002653E3">
      <w:pPr>
        <w:spacing w:after="0" w:line="240" w:lineRule="auto"/>
        <w:jc w:val="both"/>
        <w:rPr>
          <w:rFonts w:ascii="Arial Narrow" w:hAnsi="Arial Narrow" w:cs="Arial"/>
          <w:sz w:val="24"/>
          <w:szCs w:val="24"/>
        </w:rPr>
      </w:pPr>
    </w:p>
    <w:p w:rsidR="000E46C2" w:rsidRPr="00C17F99" w:rsidRDefault="000E46C2" w:rsidP="002653E3">
      <w:pPr>
        <w:spacing w:line="240" w:lineRule="auto"/>
        <w:jc w:val="both"/>
        <w:rPr>
          <w:rFonts w:ascii="Arial Narrow" w:hAnsi="Arial Narrow"/>
          <w:sz w:val="24"/>
          <w:szCs w:val="24"/>
        </w:rPr>
      </w:pPr>
      <w:r w:rsidRPr="00C17F99">
        <w:rPr>
          <w:rFonts w:ascii="Arial Narrow" w:hAnsi="Arial Narrow"/>
          <w:sz w:val="24"/>
          <w:szCs w:val="24"/>
        </w:rPr>
        <w:t xml:space="preserve">In realization of the need to imbibe the spirit of innovation and apply same to internally generated revenue </w:t>
      </w:r>
      <w:proofErr w:type="spellStart"/>
      <w:r w:rsidRPr="00C17F99">
        <w:rPr>
          <w:rFonts w:ascii="Arial Narrow" w:hAnsi="Arial Narrow"/>
          <w:sz w:val="24"/>
          <w:szCs w:val="24"/>
        </w:rPr>
        <w:t>programme</w:t>
      </w:r>
      <w:proofErr w:type="spellEnd"/>
      <w:r w:rsidRPr="00C17F99">
        <w:rPr>
          <w:rFonts w:ascii="Arial Narrow" w:hAnsi="Arial Narrow"/>
          <w:sz w:val="24"/>
          <w:szCs w:val="24"/>
        </w:rPr>
        <w:t xml:space="preserve">, Cross River State has introduced the Direct Bank Lodgment System, e-payment, automation </w:t>
      </w:r>
      <w:r w:rsidRPr="00C17F99">
        <w:rPr>
          <w:rFonts w:ascii="Arial Narrow" w:hAnsi="Arial Narrow"/>
          <w:sz w:val="24"/>
          <w:szCs w:val="24"/>
        </w:rPr>
        <w:lastRenderedPageBreak/>
        <w:t>of tax activities, e-tickets and registration of taxpayers and issuance of TINs which have collectively produced the following results:</w:t>
      </w:r>
    </w:p>
    <w:p w:rsidR="00450D2A" w:rsidRPr="00C17F99" w:rsidRDefault="00450D2A" w:rsidP="002653E3">
      <w:pPr>
        <w:spacing w:line="240" w:lineRule="auto"/>
        <w:jc w:val="both"/>
        <w:rPr>
          <w:rFonts w:ascii="Arial Narrow" w:hAnsi="Arial Narrow"/>
          <w:sz w:val="24"/>
          <w:szCs w:val="28"/>
        </w:rPr>
      </w:pPr>
      <w:r w:rsidRPr="00C17F99">
        <w:rPr>
          <w:rFonts w:ascii="Arial Narrow" w:hAnsi="Arial Narrow"/>
          <w:b/>
          <w:sz w:val="24"/>
          <w:szCs w:val="28"/>
        </w:rPr>
        <w:t>Table 1:</w:t>
      </w:r>
      <w:r w:rsidR="00C17F99" w:rsidRPr="00C17F99">
        <w:rPr>
          <w:rFonts w:ascii="Arial Narrow" w:hAnsi="Arial Narrow"/>
          <w:b/>
          <w:sz w:val="24"/>
          <w:szCs w:val="28"/>
        </w:rPr>
        <w:t xml:space="preserve"> Performance Profile</w:t>
      </w:r>
    </w:p>
    <w:tbl>
      <w:tblPr>
        <w:tblStyle w:val="TableGrid"/>
        <w:tblW w:w="0" w:type="auto"/>
        <w:tblInd w:w="-252" w:type="dxa"/>
        <w:tblLayout w:type="fixed"/>
        <w:tblLook w:val="04A0"/>
      </w:tblPr>
      <w:tblGrid>
        <w:gridCol w:w="1620"/>
        <w:gridCol w:w="2250"/>
        <w:gridCol w:w="2160"/>
        <w:gridCol w:w="1980"/>
        <w:gridCol w:w="1530"/>
      </w:tblGrid>
      <w:tr w:rsidR="00450D2A" w:rsidRPr="00C17F99" w:rsidTr="00C17F99">
        <w:tc>
          <w:tcPr>
            <w:tcW w:w="1620" w:type="dxa"/>
          </w:tcPr>
          <w:p w:rsidR="00450D2A" w:rsidRPr="00C17F99" w:rsidRDefault="00450D2A" w:rsidP="002653E3">
            <w:pPr>
              <w:jc w:val="both"/>
              <w:rPr>
                <w:rFonts w:ascii="Arial Narrow" w:hAnsi="Arial Narrow"/>
              </w:rPr>
            </w:pPr>
            <w:r w:rsidRPr="00C17F99">
              <w:rPr>
                <w:rFonts w:ascii="Arial Narrow" w:hAnsi="Arial Narrow"/>
              </w:rPr>
              <w:t>Year</w:t>
            </w:r>
          </w:p>
          <w:p w:rsidR="00EA2406" w:rsidRPr="00C17F99" w:rsidRDefault="00EA2406" w:rsidP="002653E3">
            <w:pPr>
              <w:jc w:val="both"/>
              <w:rPr>
                <w:rFonts w:ascii="Arial Narrow" w:hAnsi="Arial Narrow"/>
              </w:rPr>
            </w:pPr>
            <w:r w:rsidRPr="00C17F99">
              <w:rPr>
                <w:rFonts w:ascii="Arial Narrow" w:hAnsi="Arial Narrow"/>
              </w:rPr>
              <w:t>(a)</w:t>
            </w:r>
          </w:p>
        </w:tc>
        <w:tc>
          <w:tcPr>
            <w:tcW w:w="2250" w:type="dxa"/>
          </w:tcPr>
          <w:p w:rsidR="00450D2A" w:rsidRPr="00C17F99" w:rsidRDefault="00450D2A" w:rsidP="002653E3">
            <w:pPr>
              <w:jc w:val="both"/>
              <w:rPr>
                <w:rFonts w:ascii="Arial Narrow" w:hAnsi="Arial Narrow"/>
              </w:rPr>
            </w:pPr>
            <w:r w:rsidRPr="00C17F99">
              <w:rPr>
                <w:rFonts w:ascii="Arial Narrow" w:hAnsi="Arial Narrow"/>
              </w:rPr>
              <w:t>IGR (N)</w:t>
            </w:r>
          </w:p>
          <w:p w:rsidR="00EA2406" w:rsidRPr="00C17F99" w:rsidRDefault="00EA2406" w:rsidP="002653E3">
            <w:pPr>
              <w:jc w:val="both"/>
              <w:rPr>
                <w:rFonts w:ascii="Arial Narrow" w:hAnsi="Arial Narrow"/>
              </w:rPr>
            </w:pPr>
            <w:r w:rsidRPr="00C17F99">
              <w:rPr>
                <w:rFonts w:ascii="Arial Narrow" w:hAnsi="Arial Narrow"/>
              </w:rPr>
              <w:t>(b)</w:t>
            </w:r>
          </w:p>
        </w:tc>
        <w:tc>
          <w:tcPr>
            <w:tcW w:w="2160" w:type="dxa"/>
          </w:tcPr>
          <w:p w:rsidR="00450D2A" w:rsidRPr="00C17F99" w:rsidRDefault="00450D2A" w:rsidP="002653E3">
            <w:pPr>
              <w:jc w:val="both"/>
              <w:rPr>
                <w:rFonts w:ascii="Arial Narrow" w:hAnsi="Arial Narrow"/>
              </w:rPr>
            </w:pPr>
            <w:r w:rsidRPr="00C17F99">
              <w:rPr>
                <w:rFonts w:ascii="Arial Narrow" w:hAnsi="Arial Narrow"/>
              </w:rPr>
              <w:t>Growth Rate</w:t>
            </w:r>
            <w:r w:rsidR="00F80C0A" w:rsidRPr="00C17F99">
              <w:rPr>
                <w:rFonts w:ascii="Arial Narrow" w:hAnsi="Arial Narrow"/>
              </w:rPr>
              <w:t xml:space="preserve"> of IGR</w:t>
            </w:r>
            <w:r w:rsidRPr="00C17F99">
              <w:rPr>
                <w:rFonts w:ascii="Arial Narrow" w:hAnsi="Arial Narrow"/>
              </w:rPr>
              <w:t xml:space="preserve"> (%)</w:t>
            </w:r>
          </w:p>
          <w:p w:rsidR="00EA2406" w:rsidRPr="00C17F99" w:rsidRDefault="00EA2406" w:rsidP="002653E3">
            <w:pPr>
              <w:jc w:val="both"/>
              <w:rPr>
                <w:rFonts w:ascii="Arial Narrow" w:hAnsi="Arial Narrow"/>
              </w:rPr>
            </w:pPr>
            <w:r w:rsidRPr="00C17F99">
              <w:rPr>
                <w:rFonts w:ascii="Arial Narrow" w:hAnsi="Arial Narrow"/>
              </w:rPr>
              <w:t>(c)</w:t>
            </w:r>
          </w:p>
        </w:tc>
        <w:tc>
          <w:tcPr>
            <w:tcW w:w="1980" w:type="dxa"/>
          </w:tcPr>
          <w:p w:rsidR="00450D2A" w:rsidRPr="00C17F99" w:rsidRDefault="00450D2A" w:rsidP="002653E3">
            <w:pPr>
              <w:jc w:val="both"/>
              <w:rPr>
                <w:rFonts w:ascii="Arial Narrow" w:hAnsi="Arial Narrow"/>
              </w:rPr>
            </w:pPr>
            <w:r w:rsidRPr="00C17F99">
              <w:rPr>
                <w:rFonts w:ascii="Arial Narrow" w:hAnsi="Arial Narrow"/>
              </w:rPr>
              <w:t>FAAC (N)</w:t>
            </w:r>
          </w:p>
          <w:p w:rsidR="00450D2A" w:rsidRPr="00C17F99" w:rsidRDefault="00450D2A" w:rsidP="002653E3">
            <w:pPr>
              <w:jc w:val="both"/>
              <w:rPr>
                <w:rFonts w:ascii="Arial Narrow" w:hAnsi="Arial Narrow"/>
              </w:rPr>
            </w:pPr>
            <w:r w:rsidRPr="00C17F99">
              <w:rPr>
                <w:rFonts w:ascii="Arial Narrow" w:hAnsi="Arial Narrow"/>
              </w:rPr>
              <w:t>(d)</w:t>
            </w:r>
          </w:p>
        </w:tc>
        <w:tc>
          <w:tcPr>
            <w:tcW w:w="1530" w:type="dxa"/>
          </w:tcPr>
          <w:p w:rsidR="00450D2A" w:rsidRPr="00C17F99" w:rsidRDefault="00450D2A" w:rsidP="002653E3">
            <w:pPr>
              <w:jc w:val="both"/>
              <w:rPr>
                <w:rFonts w:ascii="Arial Narrow" w:hAnsi="Arial Narrow"/>
              </w:rPr>
            </w:pPr>
            <w:r w:rsidRPr="00C17F99">
              <w:rPr>
                <w:rFonts w:ascii="Arial Narrow" w:hAnsi="Arial Narrow"/>
              </w:rPr>
              <w:t xml:space="preserve">(b) as % of (d) </w:t>
            </w:r>
          </w:p>
          <w:p w:rsidR="00F80C0A" w:rsidRPr="00C17F99" w:rsidRDefault="00F80C0A" w:rsidP="002653E3">
            <w:pPr>
              <w:jc w:val="both"/>
              <w:rPr>
                <w:rFonts w:ascii="Arial Narrow" w:hAnsi="Arial Narrow"/>
              </w:rPr>
            </w:pPr>
            <w:r w:rsidRPr="00C17F99">
              <w:rPr>
                <w:rFonts w:ascii="Arial Narrow" w:hAnsi="Arial Narrow"/>
              </w:rPr>
              <w:t>(e)</w:t>
            </w: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1999</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245,301,560.70</w:t>
            </w:r>
          </w:p>
        </w:tc>
        <w:tc>
          <w:tcPr>
            <w:tcW w:w="2160" w:type="dxa"/>
            <w:vAlign w:val="bottom"/>
          </w:tcPr>
          <w:p w:rsidR="00450D2A" w:rsidRPr="00C17F99" w:rsidRDefault="00450D2A" w:rsidP="00C17F99">
            <w:pPr>
              <w:snapToGrid w:val="0"/>
              <w:jc w:val="center"/>
              <w:textAlignment w:val="bottom"/>
              <w:rPr>
                <w:rFonts w:ascii="Arial Narrow" w:eastAsia="Times New Roman" w:hAnsi="Arial Narrow"/>
                <w:color w:val="000000"/>
                <w:kern w:val="1"/>
              </w:rPr>
            </w:pPr>
            <w:r w:rsidRPr="00C17F99">
              <w:rPr>
                <w:rFonts w:ascii="Arial Narrow" w:eastAsia="Times New Roman" w:hAnsi="Arial Narrow"/>
                <w:color w:val="000000"/>
                <w:kern w:val="1"/>
              </w:rPr>
              <w:t>NA</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2000</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620,776,408.20</w:t>
            </w:r>
          </w:p>
        </w:tc>
        <w:tc>
          <w:tcPr>
            <w:tcW w:w="2160" w:type="dxa"/>
            <w:vAlign w:val="bottom"/>
          </w:tcPr>
          <w:p w:rsidR="00450D2A" w:rsidRPr="00C17F99" w:rsidRDefault="00C17F99" w:rsidP="00C17F99">
            <w:pPr>
              <w:snapToGrid w:val="0"/>
              <w:jc w:val="center"/>
              <w:textAlignment w:val="bottom"/>
              <w:rPr>
                <w:rFonts w:ascii="Arial Narrow" w:eastAsia="Times New Roman" w:hAnsi="Arial Narrow"/>
                <w:color w:val="000000"/>
                <w:kern w:val="1"/>
              </w:rPr>
            </w:pPr>
            <w:r>
              <w:rPr>
                <w:rFonts w:ascii="Arial Narrow" w:eastAsia="Times New Roman" w:hAnsi="Arial Narrow"/>
                <w:color w:val="000000"/>
                <w:kern w:val="1"/>
              </w:rPr>
              <w:t>153</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2001</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1,116,375,968.00</w:t>
            </w:r>
          </w:p>
        </w:tc>
        <w:tc>
          <w:tcPr>
            <w:tcW w:w="2160" w:type="dxa"/>
            <w:vAlign w:val="bottom"/>
          </w:tcPr>
          <w:p w:rsidR="00450D2A" w:rsidRPr="00C17F99" w:rsidRDefault="00C17F99" w:rsidP="00C17F99">
            <w:pPr>
              <w:snapToGrid w:val="0"/>
              <w:jc w:val="center"/>
              <w:textAlignment w:val="bottom"/>
              <w:rPr>
                <w:rFonts w:ascii="Arial Narrow" w:eastAsia="Times New Roman" w:hAnsi="Arial Narrow"/>
                <w:color w:val="000000"/>
                <w:kern w:val="1"/>
              </w:rPr>
            </w:pPr>
            <w:r>
              <w:rPr>
                <w:rFonts w:ascii="Arial Narrow" w:eastAsia="Times New Roman" w:hAnsi="Arial Narrow"/>
                <w:color w:val="000000"/>
                <w:kern w:val="1"/>
              </w:rPr>
              <w:t>80</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2002</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1,039,292,138.00</w:t>
            </w:r>
          </w:p>
        </w:tc>
        <w:tc>
          <w:tcPr>
            <w:tcW w:w="2160" w:type="dxa"/>
            <w:vAlign w:val="bottom"/>
          </w:tcPr>
          <w:p w:rsidR="00450D2A" w:rsidRPr="00C17F99" w:rsidRDefault="00450D2A" w:rsidP="00C17F99">
            <w:pPr>
              <w:snapToGrid w:val="0"/>
              <w:jc w:val="center"/>
              <w:textAlignment w:val="bottom"/>
              <w:rPr>
                <w:rFonts w:ascii="Arial Narrow" w:eastAsia="Times New Roman" w:hAnsi="Arial Narrow"/>
                <w:color w:val="000000"/>
                <w:kern w:val="1"/>
              </w:rPr>
            </w:pPr>
            <w:r w:rsidRPr="00C17F99">
              <w:rPr>
                <w:rFonts w:ascii="Arial Narrow" w:eastAsia="Times New Roman" w:hAnsi="Arial Narrow"/>
                <w:color w:val="000000"/>
                <w:kern w:val="1"/>
              </w:rPr>
              <w:t>(7)</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2003</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1,180,107,272.00</w:t>
            </w:r>
          </w:p>
        </w:tc>
        <w:tc>
          <w:tcPr>
            <w:tcW w:w="2160" w:type="dxa"/>
            <w:vAlign w:val="bottom"/>
          </w:tcPr>
          <w:p w:rsidR="00450D2A" w:rsidRPr="00C17F99" w:rsidRDefault="00450D2A" w:rsidP="00C17F99">
            <w:pPr>
              <w:snapToGrid w:val="0"/>
              <w:jc w:val="center"/>
              <w:textAlignment w:val="bottom"/>
              <w:rPr>
                <w:rFonts w:ascii="Arial Narrow" w:eastAsia="Times New Roman" w:hAnsi="Arial Narrow"/>
                <w:color w:val="000000"/>
                <w:kern w:val="1"/>
              </w:rPr>
            </w:pPr>
            <w:r w:rsidRPr="00C17F99">
              <w:rPr>
                <w:rFonts w:ascii="Arial Narrow" w:eastAsia="Times New Roman" w:hAnsi="Arial Narrow"/>
                <w:color w:val="000000"/>
                <w:kern w:val="1"/>
              </w:rPr>
              <w:t>14</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2004</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1,784,494,236.00</w:t>
            </w:r>
          </w:p>
        </w:tc>
        <w:tc>
          <w:tcPr>
            <w:tcW w:w="2160" w:type="dxa"/>
            <w:vAlign w:val="bottom"/>
          </w:tcPr>
          <w:p w:rsidR="00450D2A" w:rsidRPr="00C17F99" w:rsidRDefault="00450D2A" w:rsidP="00C17F99">
            <w:pPr>
              <w:snapToGrid w:val="0"/>
              <w:jc w:val="center"/>
              <w:textAlignment w:val="bottom"/>
              <w:rPr>
                <w:rFonts w:ascii="Arial Narrow" w:eastAsia="Times New Roman" w:hAnsi="Arial Narrow"/>
                <w:color w:val="000000"/>
                <w:kern w:val="1"/>
              </w:rPr>
            </w:pPr>
            <w:r w:rsidRPr="00C17F99">
              <w:rPr>
                <w:rFonts w:ascii="Arial Narrow" w:eastAsia="Times New Roman" w:hAnsi="Arial Narrow"/>
                <w:color w:val="000000"/>
                <w:kern w:val="1"/>
              </w:rPr>
              <w:t>61</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2005</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2,236,726,255.00</w:t>
            </w:r>
          </w:p>
        </w:tc>
        <w:tc>
          <w:tcPr>
            <w:tcW w:w="2160" w:type="dxa"/>
            <w:vAlign w:val="bottom"/>
          </w:tcPr>
          <w:p w:rsidR="00450D2A" w:rsidRPr="00C17F99" w:rsidRDefault="00450D2A" w:rsidP="00C17F99">
            <w:pPr>
              <w:snapToGrid w:val="0"/>
              <w:jc w:val="center"/>
              <w:textAlignment w:val="bottom"/>
              <w:rPr>
                <w:rFonts w:ascii="Arial Narrow" w:eastAsia="Times New Roman" w:hAnsi="Arial Narrow"/>
                <w:color w:val="000000"/>
                <w:kern w:val="1"/>
              </w:rPr>
            </w:pPr>
            <w:r w:rsidRPr="00C17F99">
              <w:rPr>
                <w:rFonts w:ascii="Arial Narrow" w:eastAsia="Times New Roman" w:hAnsi="Arial Narrow"/>
                <w:color w:val="000000"/>
                <w:kern w:val="1"/>
              </w:rPr>
              <w:t>57</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2006</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2,716,635,921.00</w:t>
            </w:r>
          </w:p>
        </w:tc>
        <w:tc>
          <w:tcPr>
            <w:tcW w:w="2160" w:type="dxa"/>
            <w:vAlign w:val="bottom"/>
          </w:tcPr>
          <w:p w:rsidR="00450D2A" w:rsidRPr="00C17F99" w:rsidRDefault="00C17F99" w:rsidP="00C17F99">
            <w:pPr>
              <w:snapToGrid w:val="0"/>
              <w:jc w:val="center"/>
              <w:textAlignment w:val="bottom"/>
              <w:rPr>
                <w:rFonts w:ascii="Arial Narrow" w:eastAsia="Times New Roman" w:hAnsi="Arial Narrow"/>
                <w:color w:val="000000"/>
                <w:kern w:val="1"/>
              </w:rPr>
            </w:pPr>
            <w:r>
              <w:rPr>
                <w:rFonts w:ascii="Arial Narrow" w:eastAsia="Times New Roman" w:hAnsi="Arial Narrow"/>
                <w:color w:val="000000"/>
                <w:kern w:val="1"/>
              </w:rPr>
              <w:t>5</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2007</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3,341,876,034.00</w:t>
            </w:r>
          </w:p>
        </w:tc>
        <w:tc>
          <w:tcPr>
            <w:tcW w:w="2160" w:type="dxa"/>
            <w:vAlign w:val="bottom"/>
          </w:tcPr>
          <w:p w:rsidR="00450D2A" w:rsidRPr="00C17F99" w:rsidRDefault="00450D2A" w:rsidP="00C17F99">
            <w:pPr>
              <w:snapToGrid w:val="0"/>
              <w:jc w:val="center"/>
              <w:textAlignment w:val="bottom"/>
              <w:rPr>
                <w:rFonts w:ascii="Arial Narrow" w:eastAsia="Times New Roman" w:hAnsi="Arial Narrow"/>
                <w:color w:val="000000"/>
                <w:kern w:val="1"/>
              </w:rPr>
            </w:pPr>
            <w:r w:rsidRPr="00C17F99">
              <w:rPr>
                <w:rFonts w:ascii="Arial Narrow" w:eastAsia="Times New Roman" w:hAnsi="Arial Narrow"/>
                <w:color w:val="000000"/>
                <w:kern w:val="1"/>
              </w:rPr>
              <w:t>8</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2008</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6,447,975,865.96</w:t>
            </w:r>
          </w:p>
        </w:tc>
        <w:tc>
          <w:tcPr>
            <w:tcW w:w="2160" w:type="dxa"/>
            <w:vAlign w:val="bottom"/>
          </w:tcPr>
          <w:p w:rsidR="00450D2A" w:rsidRPr="00C17F99" w:rsidRDefault="00450D2A" w:rsidP="00C17F99">
            <w:pPr>
              <w:snapToGrid w:val="0"/>
              <w:jc w:val="center"/>
              <w:textAlignment w:val="bottom"/>
              <w:rPr>
                <w:rFonts w:ascii="Arial Narrow" w:eastAsia="Times New Roman" w:hAnsi="Arial Narrow"/>
                <w:color w:val="000000"/>
                <w:kern w:val="1"/>
              </w:rPr>
            </w:pPr>
            <w:r w:rsidRPr="00C17F99">
              <w:rPr>
                <w:rFonts w:ascii="Arial Narrow" w:eastAsia="Times New Roman" w:hAnsi="Arial Narrow"/>
                <w:color w:val="000000"/>
                <w:kern w:val="1"/>
              </w:rPr>
              <w:t>90</w:t>
            </w: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r w:rsidR="00450D2A" w:rsidRPr="00C17F99" w:rsidTr="00C17F99">
        <w:tc>
          <w:tcPr>
            <w:tcW w:w="1620" w:type="dxa"/>
            <w:vAlign w:val="bottom"/>
          </w:tcPr>
          <w:p w:rsidR="00450D2A" w:rsidRPr="00C17F99" w:rsidRDefault="00EA2406" w:rsidP="00EA2406">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2009 (Jan</w:t>
            </w:r>
            <w:r w:rsidR="00450D2A" w:rsidRPr="00C17F99">
              <w:rPr>
                <w:rFonts w:ascii="Arial Narrow" w:eastAsia="Times New Roman" w:hAnsi="Arial Narrow"/>
                <w:color w:val="000000"/>
                <w:kern w:val="1"/>
              </w:rPr>
              <w:t xml:space="preserve"> - Sept)</w:t>
            </w:r>
          </w:p>
        </w:tc>
        <w:tc>
          <w:tcPr>
            <w:tcW w:w="225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r w:rsidRPr="00C17F99">
              <w:rPr>
                <w:rFonts w:ascii="Arial Narrow" w:eastAsia="Times New Roman" w:hAnsi="Arial Narrow"/>
                <w:color w:val="000000"/>
                <w:kern w:val="1"/>
              </w:rPr>
              <w:t>4,922,527,558.46</w:t>
            </w:r>
          </w:p>
        </w:tc>
        <w:tc>
          <w:tcPr>
            <w:tcW w:w="2160" w:type="dxa"/>
            <w:vAlign w:val="bottom"/>
          </w:tcPr>
          <w:p w:rsidR="00450D2A" w:rsidRPr="00C17F99" w:rsidRDefault="00450D2A" w:rsidP="00552A5F">
            <w:pPr>
              <w:snapToGrid w:val="0"/>
              <w:jc w:val="both"/>
              <w:textAlignment w:val="bottom"/>
              <w:rPr>
                <w:rFonts w:ascii="Arial Narrow" w:eastAsia="Times New Roman" w:hAnsi="Arial Narrow"/>
                <w:color w:val="000000"/>
                <w:kern w:val="1"/>
              </w:rPr>
            </w:pPr>
          </w:p>
        </w:tc>
        <w:tc>
          <w:tcPr>
            <w:tcW w:w="1980" w:type="dxa"/>
          </w:tcPr>
          <w:p w:rsidR="00450D2A" w:rsidRPr="00C17F99" w:rsidRDefault="00450D2A" w:rsidP="002653E3">
            <w:pPr>
              <w:jc w:val="both"/>
              <w:rPr>
                <w:rFonts w:ascii="Arial Narrow" w:hAnsi="Arial Narrow"/>
              </w:rPr>
            </w:pPr>
          </w:p>
        </w:tc>
        <w:tc>
          <w:tcPr>
            <w:tcW w:w="1530" w:type="dxa"/>
          </w:tcPr>
          <w:p w:rsidR="00450D2A" w:rsidRPr="00C17F99" w:rsidRDefault="00450D2A" w:rsidP="002653E3">
            <w:pPr>
              <w:jc w:val="both"/>
              <w:rPr>
                <w:rFonts w:ascii="Arial Narrow" w:hAnsi="Arial Narrow"/>
              </w:rPr>
            </w:pPr>
          </w:p>
        </w:tc>
      </w:tr>
    </w:tbl>
    <w:p w:rsidR="00552A5F" w:rsidRDefault="00EA2406" w:rsidP="00552A5F">
      <w:pPr>
        <w:spacing w:after="0" w:line="240" w:lineRule="auto"/>
        <w:jc w:val="both"/>
        <w:rPr>
          <w:rFonts w:ascii="Arial" w:hAnsi="Arial" w:cs="Arial"/>
          <w:sz w:val="24"/>
          <w:szCs w:val="24"/>
        </w:rPr>
      </w:pPr>
      <w:r w:rsidRPr="00EA2406">
        <w:rPr>
          <w:rFonts w:ascii="Arial" w:hAnsi="Arial" w:cs="Arial"/>
          <w:szCs w:val="24"/>
        </w:rPr>
        <w:t>Source: Ministry Of Finance</w:t>
      </w:r>
      <w:r>
        <w:rPr>
          <w:rFonts w:ascii="Arial" w:hAnsi="Arial" w:cs="Arial"/>
          <w:szCs w:val="24"/>
        </w:rPr>
        <w:t xml:space="preserve">, </w:t>
      </w:r>
      <w:proofErr w:type="spellStart"/>
      <w:r>
        <w:rPr>
          <w:rFonts w:ascii="Arial" w:hAnsi="Arial" w:cs="Arial"/>
          <w:szCs w:val="24"/>
        </w:rPr>
        <w:t>Calabar</w:t>
      </w:r>
      <w:proofErr w:type="spellEnd"/>
    </w:p>
    <w:p w:rsidR="00450D2A" w:rsidRDefault="00450D2A" w:rsidP="002653E3">
      <w:pPr>
        <w:spacing w:line="240" w:lineRule="auto"/>
        <w:jc w:val="both"/>
        <w:rPr>
          <w:rFonts w:ascii="Times New Roman" w:hAnsi="Times New Roman"/>
          <w:sz w:val="28"/>
          <w:szCs w:val="28"/>
        </w:rPr>
      </w:pPr>
    </w:p>
    <w:p w:rsidR="000E46C2" w:rsidRPr="00EA2406" w:rsidRDefault="00EA2406" w:rsidP="00EA2406">
      <w:pPr>
        <w:pStyle w:val="NoSpacing"/>
        <w:rPr>
          <w:b/>
          <w:sz w:val="28"/>
        </w:rPr>
      </w:pPr>
      <w:r>
        <w:rPr>
          <w:b/>
          <w:sz w:val="28"/>
        </w:rPr>
        <w:t>Fig. 1:</w:t>
      </w:r>
      <w:r>
        <w:rPr>
          <w:b/>
          <w:sz w:val="28"/>
        </w:rPr>
        <w:tab/>
        <w:t>Internally Generated Revenue in CRS,</w:t>
      </w:r>
      <w:r w:rsidR="000E46C2" w:rsidRPr="00EA2406">
        <w:rPr>
          <w:b/>
          <w:sz w:val="28"/>
        </w:rPr>
        <w:t xml:space="preserve"> 1999 </w:t>
      </w:r>
      <w:r>
        <w:rPr>
          <w:b/>
          <w:sz w:val="28"/>
        </w:rPr>
        <w:t>-</w:t>
      </w:r>
      <w:r w:rsidR="000E46C2" w:rsidRPr="00EA2406">
        <w:rPr>
          <w:b/>
          <w:sz w:val="28"/>
        </w:rPr>
        <w:t xml:space="preserve"> 2009  </w:t>
      </w:r>
    </w:p>
    <w:p w:rsidR="00AF0BF7" w:rsidRDefault="00AF0BF7" w:rsidP="00AF0BF7">
      <w:pPr>
        <w:spacing w:line="240" w:lineRule="auto"/>
        <w:jc w:val="both"/>
        <w:rPr>
          <w:b/>
          <w:i/>
        </w:rPr>
      </w:pPr>
      <w:r>
        <w:rPr>
          <w:noProof/>
          <w:lang w:val="en-GB" w:eastAsia="en-GB"/>
        </w:rPr>
        <w:drawing>
          <wp:inline distT="0" distB="0" distL="0" distR="0">
            <wp:extent cx="6276975" cy="32194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
          <w:i/>
        </w:rPr>
        <w:t>SOURCE: CRS INTERNAL REVENUE SERVICE, 2009.</w:t>
      </w:r>
    </w:p>
    <w:p w:rsidR="00B275B3" w:rsidRPr="00C17F99" w:rsidRDefault="00B275B3" w:rsidP="002653E3">
      <w:pPr>
        <w:spacing w:after="0" w:line="240" w:lineRule="auto"/>
        <w:jc w:val="both"/>
        <w:rPr>
          <w:rFonts w:ascii="Arial Narrow" w:hAnsi="Arial Narrow" w:cs="Arial"/>
          <w:sz w:val="24"/>
          <w:szCs w:val="24"/>
        </w:rPr>
      </w:pPr>
    </w:p>
    <w:p w:rsidR="00B275B3" w:rsidRPr="00C17F99" w:rsidRDefault="00C17F99" w:rsidP="002653E3">
      <w:pPr>
        <w:spacing w:after="0" w:line="240" w:lineRule="auto"/>
        <w:jc w:val="both"/>
        <w:rPr>
          <w:rFonts w:ascii="Arial Narrow" w:hAnsi="Arial Narrow" w:cs="Arial"/>
          <w:sz w:val="24"/>
          <w:szCs w:val="24"/>
        </w:rPr>
      </w:pPr>
      <w:r>
        <w:rPr>
          <w:rFonts w:ascii="Arial Narrow" w:hAnsi="Arial Narrow" w:cs="Arial"/>
          <w:sz w:val="24"/>
          <w:szCs w:val="24"/>
        </w:rPr>
        <w:t>The r</w:t>
      </w:r>
      <w:r w:rsidR="00B275B3" w:rsidRPr="00C17F99">
        <w:rPr>
          <w:rFonts w:ascii="Arial Narrow" w:hAnsi="Arial Narrow" w:cs="Arial"/>
          <w:sz w:val="24"/>
          <w:szCs w:val="24"/>
        </w:rPr>
        <w:t xml:space="preserve">ock bottom realities of 2009 cast doubts on </w:t>
      </w:r>
      <w:r w:rsidR="009A1333">
        <w:rPr>
          <w:rFonts w:ascii="Arial Narrow" w:hAnsi="Arial Narrow" w:cs="Arial"/>
          <w:sz w:val="24"/>
          <w:szCs w:val="24"/>
        </w:rPr>
        <w:t>performance of FAAC in the last quarter of 2009</w:t>
      </w:r>
      <w:r w:rsidR="0048311E">
        <w:rPr>
          <w:rFonts w:ascii="Arial Narrow" w:hAnsi="Arial Narrow" w:cs="Arial"/>
          <w:sz w:val="24"/>
          <w:szCs w:val="24"/>
        </w:rPr>
        <w:t xml:space="preserve"> and beyond</w:t>
      </w:r>
      <w:r w:rsidR="00B275B3" w:rsidRPr="00C17F99">
        <w:rPr>
          <w:rFonts w:ascii="Arial Narrow" w:hAnsi="Arial Narrow" w:cs="Arial"/>
          <w:sz w:val="24"/>
          <w:szCs w:val="24"/>
        </w:rPr>
        <w:t xml:space="preserve">. Nigeria’s major export, crude petroleum, is a primary produce whose market conditions are volatile, and vulnerable to external shocks. The petroleum sector provides 20 percent of GDP, but is neither capable of generating employment (due to its high capital intensity), nor able to generate adequate forward </w:t>
      </w:r>
      <w:r w:rsidR="00B275B3" w:rsidRPr="00C17F99">
        <w:rPr>
          <w:rFonts w:ascii="Arial Narrow" w:hAnsi="Arial Narrow" w:cs="Arial"/>
          <w:sz w:val="24"/>
          <w:szCs w:val="24"/>
        </w:rPr>
        <w:lastRenderedPageBreak/>
        <w:t xml:space="preserve">and back ward linkages to other sectors (due to its high import dependence). Currently, activities of militants in the </w:t>
      </w:r>
    </w:p>
    <w:p w:rsidR="00B275B3" w:rsidRPr="00C17F99" w:rsidRDefault="00B275B3" w:rsidP="002653E3">
      <w:pPr>
        <w:spacing w:after="0" w:line="240" w:lineRule="auto"/>
        <w:jc w:val="both"/>
        <w:rPr>
          <w:rFonts w:ascii="Arial Narrow" w:hAnsi="Arial Narrow" w:cs="Arial"/>
          <w:sz w:val="24"/>
          <w:szCs w:val="24"/>
        </w:rPr>
      </w:pPr>
    </w:p>
    <w:p w:rsidR="00B275B3" w:rsidRPr="00C17F99" w:rsidRDefault="00B275B3" w:rsidP="002653E3">
      <w:pPr>
        <w:spacing w:after="0" w:line="240" w:lineRule="auto"/>
        <w:jc w:val="both"/>
        <w:rPr>
          <w:rFonts w:ascii="Arial Narrow" w:hAnsi="Arial Narrow" w:cs="Arial"/>
          <w:sz w:val="24"/>
          <w:szCs w:val="24"/>
        </w:rPr>
      </w:pPr>
      <w:r w:rsidRPr="00C17F99">
        <w:rPr>
          <w:rFonts w:ascii="Arial Narrow" w:hAnsi="Arial Narrow" w:cs="Arial"/>
          <w:sz w:val="24"/>
          <w:szCs w:val="24"/>
        </w:rPr>
        <w:t xml:space="preserve">Events worsened further from the last quarter of 2008 with the global meltdown and its attendant impact on oil prices and oil export revenue. Oil prices fell </w:t>
      </w:r>
      <w:r w:rsidR="00D63159" w:rsidRPr="00C17F99">
        <w:rPr>
          <w:rFonts w:ascii="Arial Narrow" w:hAnsi="Arial Narrow" w:cs="Arial"/>
          <w:sz w:val="24"/>
          <w:szCs w:val="24"/>
        </w:rPr>
        <w:t>abysmally from a peak high of $</w:t>
      </w:r>
      <w:r w:rsidRPr="00C17F99">
        <w:rPr>
          <w:rFonts w:ascii="Arial Narrow" w:hAnsi="Arial Narrow" w:cs="Arial"/>
          <w:sz w:val="24"/>
          <w:szCs w:val="24"/>
        </w:rPr>
        <w:t>150 per</w:t>
      </w:r>
      <w:r w:rsidR="00D63159" w:rsidRPr="00C17F99">
        <w:rPr>
          <w:rFonts w:ascii="Arial Narrow" w:hAnsi="Arial Narrow" w:cs="Arial"/>
          <w:sz w:val="24"/>
          <w:szCs w:val="24"/>
        </w:rPr>
        <w:t xml:space="preserve"> barrel in 2008 to as low as $</w:t>
      </w:r>
      <w:r w:rsidRPr="00C17F99">
        <w:rPr>
          <w:rFonts w:ascii="Arial Narrow" w:hAnsi="Arial Narrow" w:cs="Arial"/>
          <w:sz w:val="24"/>
          <w:szCs w:val="24"/>
        </w:rPr>
        <w:t xml:space="preserve">40 per barrel, causing the oil prices benchmark for 2009 budget to be lowered from $ 65 to overall reduction in what each state receives in 2009 to less than 50 per barrel. This led to reduction in the size of FAAC, and overall reduction in what each state receives 2009 to less that 50 per cent of 2008 figures. Accruable to Cross River State from FAAC in 2009 is further reduced by stoppage in payment of the State’s share of 13 percent crude petroleum derivation. Given that FAAC accounts for over 80% of State revenue, projections based on 1999-2008 optimism was no longer realizable, as it ignores the rock bottom realities of 2009. Projections of </w:t>
      </w:r>
      <w:proofErr w:type="gramStart"/>
      <w:r w:rsidRPr="00C17F99">
        <w:rPr>
          <w:rFonts w:ascii="Arial Narrow" w:hAnsi="Arial Narrow" w:cs="Arial"/>
          <w:sz w:val="24"/>
          <w:szCs w:val="24"/>
        </w:rPr>
        <w:t>IGR  provided</w:t>
      </w:r>
      <w:proofErr w:type="gramEnd"/>
      <w:r w:rsidRPr="00C17F99">
        <w:rPr>
          <w:rFonts w:ascii="Arial Narrow" w:hAnsi="Arial Narrow" w:cs="Arial"/>
          <w:sz w:val="24"/>
          <w:szCs w:val="24"/>
        </w:rPr>
        <w:t xml:space="preserve"> in table 2 is equally unrealizable because IGR performance is linked to accruable from FAAC nation-wide.</w:t>
      </w:r>
    </w:p>
    <w:p w:rsidR="00AF0BF7" w:rsidRDefault="00AF0BF7" w:rsidP="002653E3">
      <w:pPr>
        <w:spacing w:line="240" w:lineRule="auto"/>
        <w:jc w:val="both"/>
        <w:rPr>
          <w:rFonts w:ascii="Book Antiqua" w:hAnsi="Book Antiqua"/>
          <w:color w:val="000000"/>
          <w:sz w:val="20"/>
          <w:szCs w:val="20"/>
        </w:rPr>
      </w:pPr>
    </w:p>
    <w:p w:rsidR="00A71A52" w:rsidRPr="00C17F99" w:rsidRDefault="00A71A52" w:rsidP="002653E3">
      <w:pPr>
        <w:spacing w:line="240" w:lineRule="auto"/>
        <w:jc w:val="both"/>
        <w:rPr>
          <w:rFonts w:ascii="Arial Narrow" w:hAnsi="Arial Narrow"/>
          <w:b/>
          <w:sz w:val="24"/>
          <w:szCs w:val="24"/>
        </w:rPr>
      </w:pPr>
    </w:p>
    <w:p w:rsidR="000E46C2" w:rsidRPr="00C17F99" w:rsidRDefault="008B470C" w:rsidP="002653E3">
      <w:pPr>
        <w:spacing w:line="240" w:lineRule="auto"/>
        <w:jc w:val="both"/>
        <w:rPr>
          <w:rFonts w:ascii="Arial Narrow" w:hAnsi="Arial Narrow"/>
          <w:b/>
          <w:sz w:val="24"/>
          <w:szCs w:val="24"/>
        </w:rPr>
      </w:pPr>
      <w:r>
        <w:rPr>
          <w:rFonts w:ascii="Arial Narrow" w:hAnsi="Arial Narrow"/>
          <w:b/>
          <w:sz w:val="24"/>
          <w:szCs w:val="24"/>
        </w:rPr>
        <w:t>5</w:t>
      </w:r>
      <w:r w:rsidR="0048311E">
        <w:rPr>
          <w:rFonts w:ascii="Arial Narrow" w:hAnsi="Arial Narrow"/>
          <w:b/>
          <w:sz w:val="24"/>
          <w:szCs w:val="24"/>
        </w:rPr>
        <w:t>.</w:t>
      </w:r>
      <w:r w:rsidR="0048311E">
        <w:rPr>
          <w:rFonts w:ascii="Arial Narrow" w:hAnsi="Arial Narrow"/>
          <w:b/>
          <w:sz w:val="24"/>
          <w:szCs w:val="24"/>
        </w:rPr>
        <w:tab/>
        <w:t xml:space="preserve">MAJOR </w:t>
      </w:r>
      <w:r w:rsidR="008F5259" w:rsidRPr="00C17F99">
        <w:rPr>
          <w:rFonts w:ascii="Arial Narrow" w:hAnsi="Arial Narrow"/>
          <w:b/>
          <w:sz w:val="24"/>
          <w:szCs w:val="24"/>
        </w:rPr>
        <w:t xml:space="preserve">INNOVATIONS IN IGR </w:t>
      </w:r>
      <w:r w:rsidR="00357E19" w:rsidRPr="00C17F99">
        <w:rPr>
          <w:rFonts w:ascii="Arial Narrow" w:hAnsi="Arial Narrow"/>
          <w:b/>
          <w:sz w:val="24"/>
          <w:szCs w:val="24"/>
        </w:rPr>
        <w:t xml:space="preserve">STRATEGY </w:t>
      </w:r>
      <w:r w:rsidR="008F5259" w:rsidRPr="00C17F99">
        <w:rPr>
          <w:rFonts w:ascii="Arial Narrow" w:hAnsi="Arial Narrow"/>
          <w:b/>
          <w:sz w:val="24"/>
          <w:szCs w:val="24"/>
        </w:rPr>
        <w:t>IN CROSS RIVER STATE</w:t>
      </w:r>
    </w:p>
    <w:p w:rsidR="000E46C2" w:rsidRDefault="00E92983" w:rsidP="002653E3">
      <w:pPr>
        <w:spacing w:line="240" w:lineRule="auto"/>
        <w:jc w:val="both"/>
        <w:rPr>
          <w:rFonts w:ascii="Arial Narrow" w:hAnsi="Arial Narrow"/>
          <w:sz w:val="24"/>
          <w:szCs w:val="24"/>
        </w:rPr>
      </w:pPr>
      <w:r>
        <w:rPr>
          <w:rFonts w:ascii="Book Antiqua" w:hAnsi="Book Antiqua"/>
          <w:color w:val="000000"/>
          <w:sz w:val="20"/>
          <w:szCs w:val="20"/>
        </w:rPr>
        <w:t xml:space="preserve">In response to recent economic realities resulting from global recession, some forward-looking States Government in Nigeria have been very aggressive in persuading their citizens and their businesses to pay taxes to the governments’ coffers. </w:t>
      </w:r>
      <w:r w:rsidR="000E46C2" w:rsidRPr="00C17F99">
        <w:rPr>
          <w:rFonts w:ascii="Arial Narrow" w:hAnsi="Arial Narrow"/>
          <w:sz w:val="24"/>
          <w:szCs w:val="24"/>
        </w:rPr>
        <w:t>For more than a decade, Cross River State had consistently suffered a severe revenue shortfall due principally to lack of private sector presenc</w:t>
      </w:r>
      <w:r w:rsidR="00D63159" w:rsidRPr="00C17F99">
        <w:rPr>
          <w:rFonts w:ascii="Arial Narrow" w:hAnsi="Arial Narrow"/>
          <w:sz w:val="24"/>
          <w:szCs w:val="24"/>
        </w:rPr>
        <w:t>e in the State and inadequate</w:t>
      </w:r>
      <w:r w:rsidR="000E46C2" w:rsidRPr="00C17F99">
        <w:rPr>
          <w:rFonts w:ascii="Arial Narrow" w:hAnsi="Arial Narrow"/>
          <w:sz w:val="24"/>
          <w:szCs w:val="24"/>
        </w:rPr>
        <w:t xml:space="preserve"> innovative ideas towards internally generated revenue</w:t>
      </w:r>
      <w:r>
        <w:rPr>
          <w:rFonts w:ascii="Arial Narrow" w:hAnsi="Arial Narrow"/>
          <w:sz w:val="24"/>
          <w:szCs w:val="24"/>
        </w:rPr>
        <w:t xml:space="preserve"> effort</w:t>
      </w:r>
      <w:r w:rsidR="000E46C2" w:rsidRPr="00C17F99">
        <w:rPr>
          <w:rFonts w:ascii="Arial Narrow" w:hAnsi="Arial Narrow"/>
          <w:sz w:val="24"/>
          <w:szCs w:val="24"/>
        </w:rPr>
        <w:t xml:space="preserve">. To circumvent this problem, Cross River State Government has introduced </w:t>
      </w:r>
      <w:r>
        <w:rPr>
          <w:rFonts w:ascii="Arial Narrow" w:hAnsi="Arial Narrow"/>
          <w:sz w:val="24"/>
          <w:szCs w:val="24"/>
        </w:rPr>
        <w:t>some IGR innovations designed to</w:t>
      </w:r>
      <w:r w:rsidR="000E46C2" w:rsidRPr="00C17F99">
        <w:rPr>
          <w:rFonts w:ascii="Arial Narrow" w:hAnsi="Arial Narrow"/>
          <w:sz w:val="24"/>
          <w:szCs w:val="24"/>
        </w:rPr>
        <w:t>:</w:t>
      </w:r>
    </w:p>
    <w:p w:rsidR="0087780B" w:rsidRPr="008717A2" w:rsidRDefault="0087780B" w:rsidP="0087780B">
      <w:pPr>
        <w:numPr>
          <w:ilvl w:val="0"/>
          <w:numId w:val="16"/>
        </w:numPr>
        <w:suppressAutoHyphens w:val="0"/>
        <w:spacing w:before="100" w:beforeAutospacing="1" w:after="100" w:afterAutospacing="1" w:line="240" w:lineRule="auto"/>
        <w:rPr>
          <w:rFonts w:ascii="Tahoma" w:hAnsi="Tahoma" w:cs="Tahoma"/>
          <w:sz w:val="17"/>
          <w:szCs w:val="17"/>
        </w:rPr>
      </w:pPr>
      <w:r w:rsidRPr="008717A2">
        <w:rPr>
          <w:rFonts w:ascii="Tahoma" w:hAnsi="Tahoma" w:cs="Tahoma"/>
          <w:color w:val="666666"/>
          <w:sz w:val="17"/>
          <w:szCs w:val="17"/>
        </w:rPr>
        <w:t>Increases the internally</w:t>
      </w:r>
      <w:r w:rsidR="00E92983">
        <w:rPr>
          <w:rFonts w:ascii="Tahoma" w:hAnsi="Tahoma" w:cs="Tahoma"/>
          <w:color w:val="666666"/>
          <w:sz w:val="17"/>
          <w:szCs w:val="17"/>
        </w:rPr>
        <w:t xml:space="preserve"> generated revenue base of Cross River</w:t>
      </w:r>
      <w:r w:rsidRPr="008717A2">
        <w:rPr>
          <w:rFonts w:ascii="Tahoma" w:hAnsi="Tahoma" w:cs="Tahoma"/>
          <w:color w:val="666666"/>
          <w:sz w:val="17"/>
          <w:szCs w:val="17"/>
        </w:rPr>
        <w:t xml:space="preserve"> State</w:t>
      </w:r>
      <w:r w:rsidRPr="008717A2">
        <w:rPr>
          <w:rFonts w:ascii="Tahoma" w:hAnsi="Tahoma" w:cs="Tahoma"/>
          <w:sz w:val="17"/>
          <w:szCs w:val="17"/>
        </w:rPr>
        <w:t xml:space="preserve"> </w:t>
      </w:r>
    </w:p>
    <w:p w:rsidR="0087780B" w:rsidRPr="0087780B" w:rsidRDefault="0087780B" w:rsidP="0087780B">
      <w:pPr>
        <w:numPr>
          <w:ilvl w:val="0"/>
          <w:numId w:val="16"/>
        </w:numPr>
        <w:suppressAutoHyphens w:val="0"/>
        <w:spacing w:before="100" w:beforeAutospacing="1" w:after="100" w:afterAutospacing="1" w:line="240" w:lineRule="auto"/>
        <w:jc w:val="both"/>
        <w:rPr>
          <w:rFonts w:ascii="Arial Narrow" w:hAnsi="Arial Narrow"/>
          <w:sz w:val="24"/>
          <w:szCs w:val="24"/>
        </w:rPr>
      </w:pPr>
      <w:r w:rsidRPr="0087780B">
        <w:rPr>
          <w:rFonts w:ascii="Tahoma" w:hAnsi="Tahoma" w:cs="Tahoma"/>
          <w:color w:val="666666"/>
          <w:sz w:val="17"/>
          <w:szCs w:val="17"/>
        </w:rPr>
        <w:t>Provides easy administration, monitoring and co-ordination of</w:t>
      </w:r>
      <w:r w:rsidR="00E92983">
        <w:rPr>
          <w:rFonts w:ascii="Tahoma" w:hAnsi="Tahoma" w:cs="Tahoma"/>
          <w:color w:val="666666"/>
          <w:sz w:val="17"/>
          <w:szCs w:val="17"/>
        </w:rPr>
        <w:t xml:space="preserve"> all revenue activities in the S</w:t>
      </w:r>
      <w:r w:rsidRPr="0087780B">
        <w:rPr>
          <w:rFonts w:ascii="Tahoma" w:hAnsi="Tahoma" w:cs="Tahoma"/>
          <w:color w:val="666666"/>
          <w:sz w:val="17"/>
          <w:szCs w:val="17"/>
        </w:rPr>
        <w:t>tate</w:t>
      </w:r>
    </w:p>
    <w:p w:rsidR="0087780B" w:rsidRPr="0087780B" w:rsidRDefault="0087780B" w:rsidP="0087780B">
      <w:pPr>
        <w:numPr>
          <w:ilvl w:val="0"/>
          <w:numId w:val="16"/>
        </w:numPr>
        <w:suppressAutoHyphens w:val="0"/>
        <w:spacing w:before="100" w:beforeAutospacing="1" w:after="100" w:afterAutospacing="1" w:line="240" w:lineRule="auto"/>
        <w:jc w:val="both"/>
        <w:rPr>
          <w:rFonts w:ascii="Arial Narrow" w:hAnsi="Arial Narrow"/>
          <w:sz w:val="24"/>
          <w:szCs w:val="24"/>
        </w:rPr>
      </w:pPr>
      <w:r w:rsidRPr="0087780B">
        <w:rPr>
          <w:rFonts w:ascii="Tahoma" w:hAnsi="Tahoma" w:cs="Tahoma"/>
          <w:color w:val="666666"/>
          <w:sz w:val="17"/>
          <w:szCs w:val="17"/>
        </w:rPr>
        <w:t>Assists to identify fraudulent debit, diversion of f</w:t>
      </w:r>
      <w:r w:rsidR="00E92983">
        <w:rPr>
          <w:rFonts w:ascii="Tahoma" w:hAnsi="Tahoma" w:cs="Tahoma"/>
          <w:color w:val="666666"/>
          <w:sz w:val="17"/>
          <w:szCs w:val="17"/>
        </w:rPr>
        <w:t>unds and excess charges on the S</w:t>
      </w:r>
      <w:r w:rsidRPr="0087780B">
        <w:rPr>
          <w:rFonts w:ascii="Tahoma" w:hAnsi="Tahoma" w:cs="Tahoma"/>
          <w:color w:val="666666"/>
          <w:sz w:val="17"/>
          <w:szCs w:val="17"/>
        </w:rPr>
        <w:t>tate accounts</w:t>
      </w:r>
    </w:p>
    <w:p w:rsidR="000E46C2" w:rsidRPr="00C17F99" w:rsidRDefault="00552A5F" w:rsidP="002653E3">
      <w:pPr>
        <w:pStyle w:val="NoSpacing"/>
        <w:numPr>
          <w:ilvl w:val="0"/>
          <w:numId w:val="10"/>
        </w:numPr>
        <w:jc w:val="both"/>
        <w:rPr>
          <w:rFonts w:ascii="Arial Narrow" w:hAnsi="Arial Narrow"/>
          <w:sz w:val="24"/>
          <w:szCs w:val="24"/>
        </w:rPr>
      </w:pPr>
      <w:r w:rsidRPr="00C17F99">
        <w:rPr>
          <w:rFonts w:ascii="Arial Narrow" w:hAnsi="Arial Narrow"/>
          <w:sz w:val="24"/>
          <w:szCs w:val="24"/>
        </w:rPr>
        <w:t xml:space="preserve"> </w:t>
      </w:r>
      <w:r w:rsidRPr="00C17F99">
        <w:rPr>
          <w:rFonts w:ascii="Arial Narrow" w:hAnsi="Arial Narrow"/>
          <w:b/>
          <w:sz w:val="24"/>
          <w:szCs w:val="24"/>
        </w:rPr>
        <w:t xml:space="preserve">Direct Bank Lodgement System: </w:t>
      </w:r>
      <w:r w:rsidR="000E46C2" w:rsidRPr="00C17F99">
        <w:rPr>
          <w:rFonts w:ascii="Arial Narrow" w:hAnsi="Arial Narrow"/>
          <w:sz w:val="24"/>
          <w:szCs w:val="24"/>
        </w:rPr>
        <w:t xml:space="preserve">Under this system, taxes and revenues accruing to the State Government </w:t>
      </w:r>
      <w:r w:rsidR="0048311E">
        <w:rPr>
          <w:rFonts w:ascii="Arial Narrow" w:hAnsi="Arial Narrow"/>
          <w:sz w:val="24"/>
          <w:szCs w:val="24"/>
        </w:rPr>
        <w:t>are paid directly to government</w:t>
      </w:r>
      <w:r w:rsidR="000E46C2" w:rsidRPr="00C17F99">
        <w:rPr>
          <w:rFonts w:ascii="Arial Narrow" w:hAnsi="Arial Narrow"/>
          <w:sz w:val="24"/>
          <w:szCs w:val="24"/>
        </w:rPr>
        <w:t xml:space="preserve"> designated banks whereby electronic tickets are issued as acknowledgement for payment.</w:t>
      </w:r>
    </w:p>
    <w:p w:rsidR="000E46C2" w:rsidRPr="00C17F99" w:rsidRDefault="000E46C2" w:rsidP="002653E3">
      <w:pPr>
        <w:pStyle w:val="NoSpacing"/>
        <w:ind w:left="720"/>
        <w:jc w:val="both"/>
        <w:rPr>
          <w:rFonts w:ascii="Arial Narrow" w:hAnsi="Arial Narrow"/>
          <w:sz w:val="24"/>
          <w:szCs w:val="24"/>
        </w:rPr>
      </w:pPr>
    </w:p>
    <w:p w:rsidR="000E46C2" w:rsidRPr="00C17F99" w:rsidRDefault="00552A5F" w:rsidP="002653E3">
      <w:pPr>
        <w:pStyle w:val="NoSpacing"/>
        <w:numPr>
          <w:ilvl w:val="0"/>
          <w:numId w:val="10"/>
        </w:numPr>
        <w:jc w:val="both"/>
        <w:rPr>
          <w:rFonts w:ascii="Arial Narrow" w:hAnsi="Arial Narrow"/>
          <w:sz w:val="24"/>
          <w:szCs w:val="24"/>
        </w:rPr>
      </w:pPr>
      <w:r w:rsidRPr="00C17F99">
        <w:rPr>
          <w:rFonts w:ascii="Arial Narrow" w:hAnsi="Arial Narrow"/>
          <w:b/>
          <w:sz w:val="24"/>
          <w:szCs w:val="24"/>
        </w:rPr>
        <w:t xml:space="preserve">Centralization of Issuance of Tax Clearance Certificate (TCC): </w:t>
      </w:r>
      <w:r w:rsidR="000E46C2" w:rsidRPr="00C17F99">
        <w:rPr>
          <w:rFonts w:ascii="Arial Narrow" w:hAnsi="Arial Narrow"/>
          <w:sz w:val="24"/>
          <w:szCs w:val="24"/>
        </w:rPr>
        <w:t xml:space="preserve">Tax Clearance Certificates </w:t>
      </w:r>
      <w:proofErr w:type="gramStart"/>
      <w:r w:rsidR="000E46C2" w:rsidRPr="00C17F99">
        <w:rPr>
          <w:rFonts w:ascii="Arial Narrow" w:hAnsi="Arial Narrow"/>
          <w:sz w:val="24"/>
          <w:szCs w:val="24"/>
        </w:rPr>
        <w:t>issuance</w:t>
      </w:r>
      <w:r w:rsidR="0048311E">
        <w:rPr>
          <w:rFonts w:ascii="Arial Narrow" w:hAnsi="Arial Narrow"/>
          <w:sz w:val="24"/>
          <w:szCs w:val="24"/>
        </w:rPr>
        <w:t xml:space="preserve"> </w:t>
      </w:r>
      <w:r w:rsidR="000E46C2" w:rsidRPr="00C17F99">
        <w:rPr>
          <w:rFonts w:ascii="Arial Narrow" w:hAnsi="Arial Narrow"/>
          <w:sz w:val="24"/>
          <w:szCs w:val="24"/>
        </w:rPr>
        <w:t>are</w:t>
      </w:r>
      <w:proofErr w:type="gramEnd"/>
      <w:r w:rsidR="000E46C2" w:rsidRPr="00C17F99">
        <w:rPr>
          <w:rFonts w:ascii="Arial Narrow" w:hAnsi="Arial Narrow"/>
          <w:sz w:val="24"/>
          <w:szCs w:val="24"/>
        </w:rPr>
        <w:t xml:space="preserve"> centralized at the headquarters of CRS Internal Revenue Service as a control measure. Taxpayers only need to apply in writing as provided by the enabling law (PITA No. 104, 1993 as amended).</w:t>
      </w:r>
    </w:p>
    <w:p w:rsidR="000E46C2" w:rsidRPr="00C17F99" w:rsidRDefault="000E46C2" w:rsidP="002653E3">
      <w:pPr>
        <w:pStyle w:val="NoSpacing"/>
        <w:ind w:left="720"/>
        <w:jc w:val="both"/>
        <w:rPr>
          <w:rFonts w:ascii="Arial Narrow" w:hAnsi="Arial Narrow"/>
          <w:sz w:val="24"/>
          <w:szCs w:val="24"/>
        </w:rPr>
      </w:pPr>
    </w:p>
    <w:p w:rsidR="000E46C2" w:rsidRPr="00C17F99" w:rsidRDefault="00552A5F" w:rsidP="002653E3">
      <w:pPr>
        <w:pStyle w:val="NoSpacing"/>
        <w:numPr>
          <w:ilvl w:val="0"/>
          <w:numId w:val="10"/>
        </w:numPr>
        <w:jc w:val="both"/>
        <w:rPr>
          <w:rFonts w:ascii="Arial Narrow" w:hAnsi="Arial Narrow"/>
          <w:sz w:val="24"/>
          <w:szCs w:val="24"/>
        </w:rPr>
      </w:pPr>
      <w:r w:rsidRPr="00C17F99">
        <w:rPr>
          <w:rFonts w:ascii="Arial Narrow" w:hAnsi="Arial Narrow"/>
          <w:b/>
          <w:sz w:val="24"/>
          <w:szCs w:val="24"/>
        </w:rPr>
        <w:t xml:space="preserve">Automation of Operations: </w:t>
      </w:r>
      <w:r w:rsidR="000E46C2" w:rsidRPr="00C17F99">
        <w:rPr>
          <w:rFonts w:ascii="Arial Narrow" w:hAnsi="Arial Narrow"/>
          <w:sz w:val="24"/>
          <w:szCs w:val="24"/>
        </w:rPr>
        <w:t>Computerization of the tax system helps to eliminate waste and tremendously improve efficiency and transparency in collections and accountability.</w:t>
      </w:r>
    </w:p>
    <w:p w:rsidR="000E46C2" w:rsidRPr="00C17F99" w:rsidRDefault="000E46C2" w:rsidP="002653E3">
      <w:pPr>
        <w:pStyle w:val="NoSpacing"/>
        <w:ind w:left="720"/>
        <w:jc w:val="both"/>
        <w:rPr>
          <w:rFonts w:ascii="Arial Narrow" w:hAnsi="Arial Narrow"/>
          <w:sz w:val="24"/>
          <w:szCs w:val="24"/>
        </w:rPr>
      </w:pPr>
    </w:p>
    <w:p w:rsidR="000E46C2" w:rsidRPr="00C17F99" w:rsidRDefault="00552A5F" w:rsidP="002653E3">
      <w:pPr>
        <w:pStyle w:val="NoSpacing"/>
        <w:numPr>
          <w:ilvl w:val="0"/>
          <w:numId w:val="10"/>
        </w:numPr>
        <w:jc w:val="both"/>
        <w:rPr>
          <w:rFonts w:ascii="Arial Narrow" w:hAnsi="Arial Narrow"/>
          <w:sz w:val="24"/>
          <w:szCs w:val="24"/>
        </w:rPr>
      </w:pPr>
      <w:r w:rsidRPr="00C17F99">
        <w:rPr>
          <w:rFonts w:ascii="Arial Narrow" w:hAnsi="Arial Narrow"/>
          <w:b/>
          <w:sz w:val="24"/>
          <w:szCs w:val="24"/>
        </w:rPr>
        <w:t xml:space="preserve"> Automated Revenue Collections and Monitoring System (ARCMS): </w:t>
      </w:r>
      <w:r w:rsidR="000E46C2" w:rsidRPr="00C17F99">
        <w:rPr>
          <w:rFonts w:ascii="Arial Narrow" w:hAnsi="Arial Narrow"/>
          <w:sz w:val="24"/>
          <w:szCs w:val="24"/>
        </w:rPr>
        <w:t>Under t</w:t>
      </w:r>
      <w:r w:rsidR="0048311E">
        <w:rPr>
          <w:rFonts w:ascii="Arial Narrow" w:hAnsi="Arial Narrow"/>
          <w:sz w:val="24"/>
          <w:szCs w:val="24"/>
        </w:rPr>
        <w:t xml:space="preserve">he ARCMS, we </w:t>
      </w:r>
      <w:proofErr w:type="gramStart"/>
      <w:r w:rsidR="0048311E">
        <w:rPr>
          <w:rFonts w:ascii="Arial Narrow" w:hAnsi="Arial Narrow"/>
          <w:sz w:val="24"/>
          <w:szCs w:val="24"/>
        </w:rPr>
        <w:t>Leveraged</w:t>
      </w:r>
      <w:proofErr w:type="gramEnd"/>
      <w:r w:rsidR="0048311E">
        <w:rPr>
          <w:rFonts w:ascii="Arial Narrow" w:hAnsi="Arial Narrow"/>
          <w:sz w:val="24"/>
          <w:szCs w:val="24"/>
        </w:rPr>
        <w:t xml:space="preserve"> on </w:t>
      </w:r>
      <w:proofErr w:type="spellStart"/>
      <w:r w:rsidR="0048311E">
        <w:rPr>
          <w:rFonts w:ascii="Arial Narrow" w:hAnsi="Arial Narrow"/>
          <w:sz w:val="24"/>
          <w:szCs w:val="24"/>
        </w:rPr>
        <w:t>InterS</w:t>
      </w:r>
      <w:r w:rsidR="000E46C2" w:rsidRPr="00C17F99">
        <w:rPr>
          <w:rFonts w:ascii="Arial Narrow" w:hAnsi="Arial Narrow"/>
          <w:sz w:val="24"/>
          <w:szCs w:val="24"/>
        </w:rPr>
        <w:t>witch</w:t>
      </w:r>
      <w:proofErr w:type="spellEnd"/>
      <w:r w:rsidR="000E46C2" w:rsidRPr="00C17F99">
        <w:rPr>
          <w:rFonts w:ascii="Arial Narrow" w:hAnsi="Arial Narrow"/>
          <w:sz w:val="24"/>
          <w:szCs w:val="24"/>
        </w:rPr>
        <w:t xml:space="preserve"> </w:t>
      </w:r>
      <w:proofErr w:type="spellStart"/>
      <w:r w:rsidR="000E46C2" w:rsidRPr="00C17F99">
        <w:rPr>
          <w:rFonts w:ascii="Arial Narrow" w:hAnsi="Arial Narrow"/>
          <w:sz w:val="24"/>
          <w:szCs w:val="24"/>
        </w:rPr>
        <w:t>PAYDirect</w:t>
      </w:r>
      <w:proofErr w:type="spellEnd"/>
      <w:r w:rsidR="000E46C2" w:rsidRPr="00C17F99">
        <w:rPr>
          <w:rFonts w:ascii="Arial Narrow" w:hAnsi="Arial Narrow"/>
          <w:sz w:val="24"/>
          <w:szCs w:val="24"/>
        </w:rPr>
        <w:t xml:space="preserve"> System for collection of taxes and revenue accruing to the State Government. This ensures instant tracking and notification of payments, online real-time reports of all tax payments, elimination of frauds that pertains to cheques, and consolidated view of tax payments.</w:t>
      </w:r>
    </w:p>
    <w:p w:rsidR="000E46C2" w:rsidRPr="00C17F99" w:rsidRDefault="000E46C2" w:rsidP="002653E3">
      <w:pPr>
        <w:pStyle w:val="NoSpacing"/>
        <w:ind w:left="720"/>
        <w:jc w:val="both"/>
        <w:rPr>
          <w:rFonts w:ascii="Arial Narrow" w:hAnsi="Arial Narrow"/>
          <w:sz w:val="24"/>
          <w:szCs w:val="24"/>
        </w:rPr>
      </w:pPr>
    </w:p>
    <w:p w:rsidR="000E46C2" w:rsidRPr="00C17F99" w:rsidRDefault="00552A5F" w:rsidP="002653E3">
      <w:pPr>
        <w:pStyle w:val="NoSpacing"/>
        <w:numPr>
          <w:ilvl w:val="0"/>
          <w:numId w:val="10"/>
        </w:numPr>
        <w:jc w:val="both"/>
        <w:rPr>
          <w:rFonts w:ascii="Arial Narrow" w:hAnsi="Arial Narrow"/>
          <w:sz w:val="24"/>
          <w:szCs w:val="24"/>
        </w:rPr>
      </w:pPr>
      <w:r w:rsidRPr="00C17F99">
        <w:rPr>
          <w:rFonts w:ascii="Arial Narrow" w:hAnsi="Arial Narrow"/>
          <w:b/>
          <w:sz w:val="24"/>
          <w:szCs w:val="24"/>
        </w:rPr>
        <w:lastRenderedPageBreak/>
        <w:t>Taxpayers Registration and Issuance of Taxpayers Identification Numbers</w:t>
      </w:r>
      <w:r w:rsidR="000E46C2" w:rsidRPr="00C17F99">
        <w:rPr>
          <w:rFonts w:ascii="Arial Narrow" w:hAnsi="Arial Narrow"/>
          <w:b/>
          <w:sz w:val="24"/>
          <w:szCs w:val="24"/>
        </w:rPr>
        <w:t xml:space="preserve"> (TINs)</w:t>
      </w:r>
      <w:r w:rsidRPr="00C17F99">
        <w:rPr>
          <w:rFonts w:ascii="Arial Narrow" w:hAnsi="Arial Narrow"/>
          <w:b/>
          <w:sz w:val="24"/>
          <w:szCs w:val="24"/>
        </w:rPr>
        <w:t xml:space="preserve">: </w:t>
      </w:r>
      <w:r w:rsidR="000E46C2" w:rsidRPr="00C17F99">
        <w:rPr>
          <w:rFonts w:ascii="Arial Narrow" w:hAnsi="Arial Narrow"/>
          <w:sz w:val="24"/>
          <w:szCs w:val="24"/>
        </w:rPr>
        <w:t xml:space="preserve">We have developed a robust database by the registration and issuance of unique Taxpayers Identification Numbers (TINs) to taxpayers. </w:t>
      </w:r>
    </w:p>
    <w:p w:rsidR="000E46C2" w:rsidRPr="00C17F99" w:rsidRDefault="000E46C2" w:rsidP="002653E3">
      <w:pPr>
        <w:pStyle w:val="NoSpacing"/>
        <w:ind w:left="720"/>
        <w:jc w:val="both"/>
        <w:rPr>
          <w:rFonts w:ascii="Arial Narrow" w:hAnsi="Arial Narrow"/>
          <w:sz w:val="24"/>
          <w:szCs w:val="24"/>
        </w:rPr>
      </w:pPr>
    </w:p>
    <w:p w:rsidR="000E46C2" w:rsidRPr="00C17F99" w:rsidRDefault="00552A5F" w:rsidP="002653E3">
      <w:pPr>
        <w:pStyle w:val="NoSpacing"/>
        <w:numPr>
          <w:ilvl w:val="0"/>
          <w:numId w:val="10"/>
        </w:numPr>
        <w:jc w:val="both"/>
        <w:rPr>
          <w:rFonts w:ascii="Arial Narrow" w:hAnsi="Arial Narrow"/>
          <w:sz w:val="24"/>
          <w:szCs w:val="24"/>
        </w:rPr>
      </w:pPr>
      <w:r w:rsidRPr="00C17F99">
        <w:rPr>
          <w:rFonts w:ascii="Arial Narrow" w:hAnsi="Arial Narrow"/>
          <w:b/>
          <w:sz w:val="24"/>
          <w:szCs w:val="24"/>
        </w:rPr>
        <w:t xml:space="preserve">Strengthening of Enforcement Criteria through the Instrumentality of the Law: </w:t>
      </w:r>
      <w:r w:rsidR="000E46C2" w:rsidRPr="00C17F99">
        <w:rPr>
          <w:rFonts w:ascii="Arial Narrow" w:hAnsi="Arial Narrow"/>
          <w:sz w:val="24"/>
          <w:szCs w:val="24"/>
        </w:rPr>
        <w:t>More revenue courts have been established including mobile revenue courts to instantly dispose of all revenue defaulting cases.</w:t>
      </w:r>
    </w:p>
    <w:p w:rsidR="000E46C2" w:rsidRPr="00C17F99" w:rsidRDefault="000E46C2" w:rsidP="002653E3">
      <w:pPr>
        <w:pStyle w:val="NoSpacing"/>
        <w:ind w:left="720"/>
        <w:jc w:val="both"/>
        <w:rPr>
          <w:rFonts w:ascii="Arial Narrow" w:hAnsi="Arial Narrow"/>
          <w:sz w:val="24"/>
          <w:szCs w:val="24"/>
        </w:rPr>
      </w:pPr>
    </w:p>
    <w:p w:rsidR="000E46C2" w:rsidRPr="00C17F99" w:rsidRDefault="00552A5F" w:rsidP="002653E3">
      <w:pPr>
        <w:pStyle w:val="NoSpacing"/>
        <w:numPr>
          <w:ilvl w:val="0"/>
          <w:numId w:val="10"/>
        </w:numPr>
        <w:jc w:val="both"/>
        <w:rPr>
          <w:rFonts w:ascii="Arial Narrow" w:hAnsi="Arial Narrow"/>
          <w:bCs/>
          <w:sz w:val="24"/>
          <w:szCs w:val="24"/>
        </w:rPr>
      </w:pPr>
      <w:r w:rsidRPr="00C17F99">
        <w:rPr>
          <w:rFonts w:ascii="Arial Narrow" w:hAnsi="Arial Narrow"/>
          <w:b/>
          <w:sz w:val="24"/>
          <w:szCs w:val="24"/>
        </w:rPr>
        <w:t xml:space="preserve">Automated Revenue Receipts and Tax Clearance Certificates: </w:t>
      </w:r>
      <w:r w:rsidR="000E46C2" w:rsidRPr="00C17F99">
        <w:rPr>
          <w:rFonts w:ascii="Arial Narrow" w:hAnsi="Arial Narrow"/>
          <w:bCs/>
          <w:sz w:val="24"/>
          <w:szCs w:val="24"/>
        </w:rPr>
        <w:t>This is a migration from the use of manual Revenue Receipts to a centralised secured system generated receipts with enhanced security features to minimize error, fraud and forgery. We have also migrated from use of manual Tax Clearance Certificates to electronic Tax Clearance Certificates to block revenue leakages through forgery and fraudulent activities of touts.</w:t>
      </w:r>
    </w:p>
    <w:p w:rsidR="008F5259" w:rsidRPr="00C17F99" w:rsidRDefault="008F5259" w:rsidP="002653E3">
      <w:pPr>
        <w:pStyle w:val="NoSpacing"/>
        <w:ind w:left="720"/>
        <w:jc w:val="both"/>
        <w:rPr>
          <w:rFonts w:ascii="Arial Narrow" w:hAnsi="Arial Narrow"/>
          <w:bCs/>
          <w:sz w:val="24"/>
          <w:szCs w:val="24"/>
        </w:rPr>
      </w:pPr>
    </w:p>
    <w:p w:rsidR="000E46C2" w:rsidRPr="00C17F99" w:rsidRDefault="00552A5F" w:rsidP="002653E3">
      <w:pPr>
        <w:pStyle w:val="NoSpacing"/>
        <w:numPr>
          <w:ilvl w:val="0"/>
          <w:numId w:val="10"/>
        </w:numPr>
        <w:jc w:val="both"/>
        <w:rPr>
          <w:rFonts w:ascii="Arial Narrow" w:hAnsi="Arial Narrow"/>
          <w:sz w:val="24"/>
          <w:szCs w:val="24"/>
        </w:rPr>
      </w:pPr>
      <w:r w:rsidRPr="00C17F99">
        <w:rPr>
          <w:rFonts w:ascii="Arial Narrow" w:hAnsi="Arial Narrow"/>
          <w:b/>
          <w:sz w:val="24"/>
          <w:szCs w:val="24"/>
        </w:rPr>
        <w:t xml:space="preserve">Automated </w:t>
      </w:r>
      <w:r w:rsidR="008A2BC4" w:rsidRPr="00C17F99">
        <w:rPr>
          <w:rFonts w:ascii="Arial Narrow" w:hAnsi="Arial Narrow"/>
          <w:b/>
          <w:sz w:val="24"/>
          <w:szCs w:val="24"/>
        </w:rPr>
        <w:t>Motor Vehicle Administration System</w:t>
      </w:r>
      <w:r w:rsidRPr="00C17F99">
        <w:rPr>
          <w:rFonts w:ascii="Arial Narrow" w:hAnsi="Arial Narrow"/>
          <w:b/>
          <w:sz w:val="24"/>
          <w:szCs w:val="24"/>
        </w:rPr>
        <w:t xml:space="preserve"> (</w:t>
      </w:r>
      <w:r w:rsidR="008A2BC4" w:rsidRPr="00C17F99">
        <w:rPr>
          <w:rFonts w:ascii="Arial Narrow" w:hAnsi="Arial Narrow"/>
          <w:b/>
          <w:sz w:val="24"/>
          <w:szCs w:val="24"/>
        </w:rPr>
        <w:t>AMVA</w:t>
      </w:r>
      <w:r w:rsidRPr="00C17F99">
        <w:rPr>
          <w:rFonts w:ascii="Arial Narrow" w:hAnsi="Arial Narrow"/>
          <w:b/>
          <w:sz w:val="24"/>
          <w:szCs w:val="24"/>
        </w:rPr>
        <w:t>):</w:t>
      </w:r>
      <w:r w:rsidR="008A2BC4" w:rsidRPr="00C17F99">
        <w:rPr>
          <w:rFonts w:ascii="Arial Narrow" w:hAnsi="Arial Narrow"/>
          <w:b/>
          <w:sz w:val="24"/>
          <w:szCs w:val="24"/>
        </w:rPr>
        <w:t xml:space="preserve"> </w:t>
      </w:r>
      <w:r w:rsidR="000E46C2" w:rsidRPr="00C17F99">
        <w:rPr>
          <w:rFonts w:ascii="Arial Narrow" w:hAnsi="Arial Narrow"/>
          <w:sz w:val="24"/>
          <w:szCs w:val="24"/>
        </w:rPr>
        <w:t>A web based online payment services system for vehicle registration and other Motor Vehicle Administration services which replaces the cumbersome and fraud prone manual method of vehicle administration. The AMVA allows vehicle owners to register their vehicles online and make payment directly to government and provides a platform for control and standardisation of registration process.</w:t>
      </w:r>
    </w:p>
    <w:p w:rsidR="000E46C2" w:rsidRPr="00C17F99" w:rsidRDefault="000E46C2" w:rsidP="002653E3">
      <w:pPr>
        <w:pStyle w:val="NoSpacing"/>
        <w:ind w:left="720"/>
        <w:jc w:val="both"/>
        <w:rPr>
          <w:rFonts w:ascii="Arial Narrow" w:hAnsi="Arial Narrow"/>
          <w:sz w:val="24"/>
          <w:szCs w:val="24"/>
        </w:rPr>
      </w:pPr>
    </w:p>
    <w:p w:rsidR="000E46C2" w:rsidRPr="00C17F99" w:rsidRDefault="008A2BC4" w:rsidP="002653E3">
      <w:pPr>
        <w:pStyle w:val="NoSpacing"/>
        <w:numPr>
          <w:ilvl w:val="0"/>
          <w:numId w:val="10"/>
        </w:numPr>
        <w:jc w:val="both"/>
        <w:rPr>
          <w:rFonts w:ascii="Arial Narrow" w:hAnsi="Arial Narrow"/>
          <w:sz w:val="24"/>
          <w:szCs w:val="24"/>
        </w:rPr>
      </w:pPr>
      <w:r w:rsidRPr="00C17F99">
        <w:rPr>
          <w:rFonts w:ascii="Arial Narrow" w:hAnsi="Arial Narrow"/>
          <w:b/>
          <w:sz w:val="24"/>
          <w:szCs w:val="24"/>
        </w:rPr>
        <w:t xml:space="preserve">Human Resource Development: </w:t>
      </w:r>
      <w:r w:rsidR="000E46C2" w:rsidRPr="00C17F99">
        <w:rPr>
          <w:rFonts w:ascii="Arial Narrow" w:hAnsi="Arial Narrow"/>
          <w:sz w:val="24"/>
          <w:szCs w:val="24"/>
        </w:rPr>
        <w:t xml:space="preserve">Capacity and skills building has been undertaken to groom tax operators in Cross River State. </w:t>
      </w:r>
      <w:proofErr w:type="gramStart"/>
      <w:r w:rsidR="000E46C2" w:rsidRPr="00C17F99">
        <w:rPr>
          <w:rFonts w:ascii="Arial Narrow" w:hAnsi="Arial Narrow"/>
          <w:sz w:val="24"/>
          <w:szCs w:val="24"/>
        </w:rPr>
        <w:t>this</w:t>
      </w:r>
      <w:proofErr w:type="gramEnd"/>
      <w:r w:rsidR="000E46C2" w:rsidRPr="00C17F99">
        <w:rPr>
          <w:rFonts w:ascii="Arial Narrow" w:hAnsi="Arial Narrow"/>
          <w:sz w:val="24"/>
          <w:szCs w:val="24"/>
        </w:rPr>
        <w:t xml:space="preserve"> has enhanced attitudinal change in the tax system. This will be further encouraged to ensure full maximization of our human resource base.</w:t>
      </w:r>
    </w:p>
    <w:p w:rsidR="000E46C2" w:rsidRPr="00C17F99" w:rsidRDefault="000E46C2" w:rsidP="002653E3">
      <w:pPr>
        <w:pStyle w:val="NoSpacing"/>
        <w:ind w:left="720"/>
        <w:jc w:val="both"/>
        <w:rPr>
          <w:rFonts w:ascii="Arial Narrow" w:hAnsi="Arial Narrow"/>
          <w:sz w:val="24"/>
          <w:szCs w:val="24"/>
        </w:rPr>
      </w:pPr>
    </w:p>
    <w:p w:rsidR="000E46C2" w:rsidRPr="00C17F99" w:rsidRDefault="008A2BC4" w:rsidP="002653E3">
      <w:pPr>
        <w:pStyle w:val="NoSpacing"/>
        <w:numPr>
          <w:ilvl w:val="0"/>
          <w:numId w:val="10"/>
        </w:numPr>
        <w:jc w:val="both"/>
        <w:rPr>
          <w:rFonts w:ascii="Arial Narrow" w:hAnsi="Arial Narrow"/>
          <w:sz w:val="24"/>
          <w:szCs w:val="24"/>
        </w:rPr>
      </w:pPr>
      <w:r w:rsidRPr="00C17F99">
        <w:rPr>
          <w:rFonts w:ascii="Arial Narrow" w:hAnsi="Arial Narrow"/>
          <w:b/>
          <w:sz w:val="24"/>
          <w:szCs w:val="24"/>
        </w:rPr>
        <w:t>Effective Monitoring and Collection of Revenues from Ministries, Departments and Agencies</w:t>
      </w:r>
      <w:r w:rsidR="000E46C2" w:rsidRPr="00C17F99">
        <w:rPr>
          <w:rFonts w:ascii="Arial Narrow" w:hAnsi="Arial Narrow"/>
          <w:b/>
          <w:sz w:val="24"/>
          <w:szCs w:val="24"/>
        </w:rPr>
        <w:t xml:space="preserve"> (MDAS)</w:t>
      </w:r>
      <w:r w:rsidRPr="00C17F99">
        <w:rPr>
          <w:rFonts w:ascii="Arial Narrow" w:hAnsi="Arial Narrow"/>
          <w:b/>
          <w:sz w:val="24"/>
          <w:szCs w:val="24"/>
        </w:rPr>
        <w:t xml:space="preserve">: </w:t>
      </w:r>
      <w:r w:rsidR="000E46C2" w:rsidRPr="00C17F99">
        <w:rPr>
          <w:rFonts w:ascii="Arial Narrow" w:hAnsi="Arial Narrow"/>
          <w:sz w:val="24"/>
          <w:szCs w:val="24"/>
        </w:rPr>
        <w:t>Revenue officers from Internal Revenue Service are stationed in the various MDAs to ensure effective monitoring of all collectible revenues and lodgement of same in the designated revenue accounts of Government. The Revenue Officers also carry-out regular reporting of MDAs revenue.</w:t>
      </w:r>
    </w:p>
    <w:p w:rsidR="000E46C2" w:rsidRPr="00C17F99" w:rsidRDefault="000E46C2" w:rsidP="002653E3">
      <w:pPr>
        <w:pStyle w:val="NoSpacing"/>
        <w:ind w:left="720"/>
        <w:jc w:val="both"/>
        <w:rPr>
          <w:rFonts w:ascii="Arial Narrow" w:hAnsi="Arial Narrow"/>
          <w:sz w:val="24"/>
          <w:szCs w:val="24"/>
        </w:rPr>
      </w:pPr>
    </w:p>
    <w:p w:rsidR="000E46C2" w:rsidRPr="00C17F99" w:rsidRDefault="008A2BC4" w:rsidP="002653E3">
      <w:pPr>
        <w:pStyle w:val="NoSpacing"/>
        <w:numPr>
          <w:ilvl w:val="0"/>
          <w:numId w:val="10"/>
        </w:numPr>
        <w:jc w:val="both"/>
        <w:rPr>
          <w:rFonts w:ascii="Arial Narrow" w:hAnsi="Arial Narrow"/>
          <w:sz w:val="24"/>
          <w:szCs w:val="24"/>
        </w:rPr>
      </w:pPr>
      <w:r w:rsidRPr="00C17F99">
        <w:rPr>
          <w:rFonts w:ascii="Arial Narrow" w:hAnsi="Arial Narrow"/>
          <w:b/>
          <w:sz w:val="24"/>
          <w:szCs w:val="24"/>
        </w:rPr>
        <w:t xml:space="preserve">Taxpayer Education and Sensitization: </w:t>
      </w:r>
      <w:r w:rsidR="000E46C2" w:rsidRPr="00C17F99">
        <w:rPr>
          <w:rFonts w:ascii="Arial Narrow" w:hAnsi="Arial Narrow"/>
          <w:sz w:val="24"/>
          <w:szCs w:val="24"/>
        </w:rPr>
        <w:t xml:space="preserve">Professional and qualified hands have been engaged while existing revenue </w:t>
      </w:r>
      <w:proofErr w:type="gramStart"/>
      <w:r w:rsidR="000E46C2" w:rsidRPr="00C17F99">
        <w:rPr>
          <w:rFonts w:ascii="Arial Narrow" w:hAnsi="Arial Narrow"/>
          <w:sz w:val="24"/>
          <w:szCs w:val="24"/>
        </w:rPr>
        <w:t>staff  are</w:t>
      </w:r>
      <w:proofErr w:type="gramEnd"/>
      <w:r w:rsidR="000E46C2" w:rsidRPr="00C17F99">
        <w:rPr>
          <w:rFonts w:ascii="Arial Narrow" w:hAnsi="Arial Narrow"/>
          <w:sz w:val="24"/>
          <w:szCs w:val="24"/>
        </w:rPr>
        <w:t xml:space="preserve"> trained regularly.  Massive campaign and sensitization of taxpayers through jingles, seminars, workshop, hand bills and bill boards.</w:t>
      </w:r>
    </w:p>
    <w:p w:rsidR="00D63159" w:rsidRPr="00C17F99" w:rsidRDefault="00D63159" w:rsidP="002653E3">
      <w:pPr>
        <w:pStyle w:val="NoSpacing"/>
        <w:ind w:left="720"/>
        <w:jc w:val="both"/>
        <w:rPr>
          <w:rFonts w:ascii="Arial Narrow" w:hAnsi="Arial Narrow"/>
          <w:sz w:val="24"/>
          <w:szCs w:val="24"/>
        </w:rPr>
      </w:pPr>
    </w:p>
    <w:p w:rsidR="000E46C2" w:rsidRPr="00C17F99" w:rsidRDefault="008A2BC4" w:rsidP="00D63159">
      <w:pPr>
        <w:pStyle w:val="NoSpacing"/>
        <w:numPr>
          <w:ilvl w:val="0"/>
          <w:numId w:val="10"/>
        </w:numPr>
        <w:jc w:val="both"/>
        <w:rPr>
          <w:rFonts w:ascii="Arial Narrow" w:hAnsi="Arial Narrow"/>
          <w:sz w:val="24"/>
          <w:szCs w:val="24"/>
        </w:rPr>
      </w:pPr>
      <w:r w:rsidRPr="00C17F99">
        <w:rPr>
          <w:rFonts w:ascii="Arial Narrow" w:hAnsi="Arial Narrow"/>
          <w:b/>
          <w:sz w:val="24"/>
          <w:szCs w:val="24"/>
        </w:rPr>
        <w:t xml:space="preserve">New Revenue Legislations: </w:t>
      </w:r>
      <w:r w:rsidR="000E46C2" w:rsidRPr="00C17F99">
        <w:rPr>
          <w:rFonts w:ascii="Arial Narrow" w:hAnsi="Arial Narrow"/>
          <w:sz w:val="24"/>
          <w:szCs w:val="24"/>
        </w:rPr>
        <w:t>Cross River State Government enacted Laws No. 5 of 2004 for the introduction of Urban Development Tax (UDT) and Law No. 20 of 2007 as amended by Law No. 5 of 2008 for Tourism Development Levy (TDL). This is in realization of the firm belief that Cross River State has the potential for greatness, sound financial</w:t>
      </w:r>
      <w:r w:rsidR="000E46C2" w:rsidRPr="00C17F99">
        <w:rPr>
          <w:rFonts w:ascii="Arial Narrow" w:hAnsi="Arial Narrow"/>
          <w:b/>
          <w:sz w:val="24"/>
          <w:szCs w:val="24"/>
        </w:rPr>
        <w:t xml:space="preserve"> </w:t>
      </w:r>
      <w:r w:rsidR="000E46C2" w:rsidRPr="00C17F99">
        <w:rPr>
          <w:rFonts w:ascii="Arial Narrow" w:hAnsi="Arial Narrow"/>
          <w:sz w:val="24"/>
          <w:szCs w:val="24"/>
        </w:rPr>
        <w:t xml:space="preserve">and economic management team, great aspiration for world class economic and infrastructural development projects like </w:t>
      </w:r>
      <w:proofErr w:type="spellStart"/>
      <w:r w:rsidR="000E46C2" w:rsidRPr="00C17F99">
        <w:rPr>
          <w:rFonts w:ascii="Arial Narrow" w:hAnsi="Arial Narrow"/>
          <w:sz w:val="24"/>
          <w:szCs w:val="24"/>
        </w:rPr>
        <w:t>Tinapa</w:t>
      </w:r>
      <w:proofErr w:type="spellEnd"/>
      <w:r w:rsidR="000E46C2" w:rsidRPr="00C17F99">
        <w:rPr>
          <w:rFonts w:ascii="Arial Narrow" w:hAnsi="Arial Narrow"/>
          <w:sz w:val="24"/>
          <w:szCs w:val="24"/>
        </w:rPr>
        <w:t xml:space="preserve"> Business and Leisure Resort, </w:t>
      </w:r>
      <w:proofErr w:type="spellStart"/>
      <w:r w:rsidR="000E46C2" w:rsidRPr="00C17F99">
        <w:rPr>
          <w:rFonts w:ascii="Arial Narrow" w:hAnsi="Arial Narrow"/>
          <w:sz w:val="24"/>
          <w:szCs w:val="24"/>
        </w:rPr>
        <w:t>Calabar</w:t>
      </w:r>
      <w:proofErr w:type="spellEnd"/>
      <w:r w:rsidR="000E46C2" w:rsidRPr="00C17F99">
        <w:rPr>
          <w:rFonts w:ascii="Arial Narrow" w:hAnsi="Arial Narrow"/>
          <w:sz w:val="24"/>
          <w:szCs w:val="24"/>
        </w:rPr>
        <w:t xml:space="preserve"> Energy City, Theme Park, International Convention Centre, </w:t>
      </w:r>
      <w:proofErr w:type="spellStart"/>
      <w:r w:rsidR="000E46C2" w:rsidRPr="00C17F99">
        <w:rPr>
          <w:rFonts w:ascii="Arial Narrow" w:hAnsi="Arial Narrow"/>
          <w:sz w:val="24"/>
          <w:szCs w:val="24"/>
        </w:rPr>
        <w:t>Calabar</w:t>
      </w:r>
      <w:proofErr w:type="spellEnd"/>
      <w:r w:rsidR="000E46C2" w:rsidRPr="00C17F99">
        <w:rPr>
          <w:rFonts w:ascii="Arial Narrow" w:hAnsi="Arial Narrow"/>
          <w:sz w:val="24"/>
          <w:szCs w:val="24"/>
        </w:rPr>
        <w:t xml:space="preserve"> Monorail, </w:t>
      </w:r>
      <w:proofErr w:type="spellStart"/>
      <w:r w:rsidR="000E46C2" w:rsidRPr="00C17F99">
        <w:rPr>
          <w:rFonts w:ascii="Arial Narrow" w:hAnsi="Arial Narrow"/>
          <w:sz w:val="24"/>
          <w:szCs w:val="24"/>
        </w:rPr>
        <w:t>Calabar</w:t>
      </w:r>
      <w:proofErr w:type="spellEnd"/>
      <w:r w:rsidR="000E46C2" w:rsidRPr="00C17F99">
        <w:rPr>
          <w:rFonts w:ascii="Arial Narrow" w:hAnsi="Arial Narrow"/>
          <w:sz w:val="24"/>
          <w:szCs w:val="24"/>
        </w:rPr>
        <w:t xml:space="preserve"> International Market, Airport and Seaport, Relative peace and security etc. These have added together to lay a solid foundation for the vision and mission statement of our revenue expectation (To achieve 300% increase in Internally Generated </w:t>
      </w:r>
      <w:proofErr w:type="gramStart"/>
      <w:r w:rsidR="000E46C2" w:rsidRPr="00C17F99">
        <w:rPr>
          <w:rFonts w:ascii="Arial Narrow" w:hAnsi="Arial Narrow"/>
          <w:sz w:val="24"/>
          <w:szCs w:val="24"/>
        </w:rPr>
        <w:t>Revenue(</w:t>
      </w:r>
      <w:proofErr w:type="gramEnd"/>
      <w:r w:rsidR="000E46C2" w:rsidRPr="00C17F99">
        <w:rPr>
          <w:rFonts w:ascii="Arial Narrow" w:hAnsi="Arial Narrow"/>
          <w:sz w:val="24"/>
          <w:szCs w:val="24"/>
        </w:rPr>
        <w:t>IGR) by the  year 2012).</w:t>
      </w:r>
    </w:p>
    <w:p w:rsidR="000E46C2" w:rsidRDefault="000E46C2" w:rsidP="002653E3">
      <w:pPr>
        <w:spacing w:line="240" w:lineRule="auto"/>
        <w:jc w:val="both"/>
        <w:rPr>
          <w:rFonts w:ascii="Arial Narrow" w:hAnsi="Arial Narrow"/>
          <w:b/>
          <w:sz w:val="24"/>
          <w:szCs w:val="24"/>
        </w:rPr>
      </w:pPr>
    </w:p>
    <w:p w:rsidR="008B470C" w:rsidRDefault="008B470C" w:rsidP="002653E3">
      <w:pPr>
        <w:spacing w:line="240" w:lineRule="auto"/>
        <w:jc w:val="both"/>
        <w:rPr>
          <w:rFonts w:ascii="Arial Narrow" w:hAnsi="Arial Narrow"/>
          <w:b/>
          <w:sz w:val="24"/>
          <w:szCs w:val="24"/>
        </w:rPr>
      </w:pPr>
    </w:p>
    <w:p w:rsidR="00E92983" w:rsidRPr="00C86D95" w:rsidRDefault="008B470C" w:rsidP="00C86D95">
      <w:pPr>
        <w:spacing w:line="240" w:lineRule="auto"/>
        <w:jc w:val="both"/>
        <w:rPr>
          <w:rFonts w:ascii="Arial Narrow" w:hAnsi="Arial Narrow"/>
          <w:b/>
          <w:sz w:val="24"/>
          <w:szCs w:val="24"/>
        </w:rPr>
      </w:pPr>
      <w:r>
        <w:rPr>
          <w:rFonts w:ascii="Arial Narrow" w:hAnsi="Arial Narrow"/>
          <w:b/>
          <w:sz w:val="24"/>
          <w:szCs w:val="24"/>
        </w:rPr>
        <w:lastRenderedPageBreak/>
        <w:t>6.</w:t>
      </w:r>
      <w:r>
        <w:rPr>
          <w:rFonts w:ascii="Arial Narrow" w:hAnsi="Arial Narrow"/>
          <w:b/>
          <w:sz w:val="24"/>
          <w:szCs w:val="24"/>
        </w:rPr>
        <w:tab/>
      </w:r>
      <w:r w:rsidR="00E92983" w:rsidRPr="00C86D95">
        <w:rPr>
          <w:rFonts w:ascii="Arial Narrow" w:hAnsi="Arial Narrow"/>
          <w:b/>
          <w:sz w:val="24"/>
          <w:szCs w:val="24"/>
        </w:rPr>
        <w:t>L</w:t>
      </w:r>
      <w:r w:rsidR="00C86D95" w:rsidRPr="00C86D95">
        <w:rPr>
          <w:rFonts w:ascii="Arial Narrow" w:hAnsi="Arial Narrow"/>
          <w:b/>
          <w:sz w:val="24"/>
          <w:szCs w:val="24"/>
        </w:rPr>
        <w:t>INGING IGR AND ECONOMIC DEVELOPMENT</w:t>
      </w:r>
    </w:p>
    <w:p w:rsidR="00C86D95" w:rsidRPr="00C86D95" w:rsidRDefault="00C86D95" w:rsidP="00C86D95">
      <w:pPr>
        <w:pStyle w:val="NormalWeb"/>
        <w:jc w:val="both"/>
        <w:rPr>
          <w:rFonts w:ascii="Arial Narrow" w:hAnsi="Arial Narrow"/>
          <w:color w:val="000000"/>
        </w:rPr>
      </w:pPr>
      <w:r w:rsidRPr="00C86D95">
        <w:rPr>
          <w:rFonts w:ascii="Arial Narrow" w:hAnsi="Arial Narrow"/>
          <w:color w:val="000000"/>
        </w:rPr>
        <w:t>Generating funds for development was different in the days before the civil war. In the years before independence, each of the three regions: North, East, and West had aggressive internally generated revenue schemes. In Western Nigeria in particular, payment and collection of taxes were crucial to the development of the region, as much as collection of tariffs on the region’s main agricultural product: cocoa. So were tariffs on palm produce and cotton important to Eastern and Northern regions’ government and economy. In the days before 1966, the people mattered as taxpayers or as farmers laying the golden egg for each of the three regions.</w:t>
      </w:r>
    </w:p>
    <w:p w:rsidR="00C86D95" w:rsidRPr="00C86D95" w:rsidRDefault="00C86D95" w:rsidP="00C86D95">
      <w:pPr>
        <w:pStyle w:val="NormalWeb"/>
        <w:jc w:val="both"/>
        <w:rPr>
          <w:rFonts w:ascii="Arial Narrow" w:hAnsi="Arial Narrow"/>
          <w:color w:val="000000"/>
        </w:rPr>
      </w:pPr>
      <w:r w:rsidRPr="00C86D95">
        <w:rPr>
          <w:rFonts w:ascii="Arial Narrow" w:hAnsi="Arial Narrow"/>
          <w:color w:val="000000"/>
        </w:rPr>
        <w:t>But the increase in petroleum production after the civil war changed the character of the role of the citizen in governance and in the economy. The government only needed to wait for huge returns from petroleum once the multinational oil companies such as Shell did not fail to do their own part of the bargain: explore, drill, pump, and export the new golden egg to western countries that needed the product for development. So endless was the money from oil that Nigeria quickly moved within twenty years from the twelve-state structure set up to weaken Biafra during the war to 36</w:t>
      </w:r>
      <w:r>
        <w:rPr>
          <w:rFonts w:ascii="Arial Narrow" w:hAnsi="Arial Narrow"/>
          <w:color w:val="000000"/>
        </w:rPr>
        <w:t xml:space="preserve"> plus the FCT</w:t>
      </w:r>
      <w:r w:rsidRPr="00C86D95">
        <w:rPr>
          <w:rFonts w:ascii="Arial Narrow" w:hAnsi="Arial Narrow"/>
          <w:color w:val="000000"/>
        </w:rPr>
        <w:t xml:space="preserve">. If the petitions from different states in the country are taken seriously, the number of states may go to 45 by the end of the current decade, except oil revenue goes down to ten dollars per barrel. </w:t>
      </w:r>
    </w:p>
    <w:p w:rsidR="00C86D95" w:rsidRPr="00C86D95" w:rsidRDefault="00C86D95" w:rsidP="00C86D95">
      <w:pPr>
        <w:pStyle w:val="NormalWeb"/>
        <w:jc w:val="both"/>
        <w:rPr>
          <w:rFonts w:ascii="Arial Narrow" w:hAnsi="Arial Narrow"/>
          <w:color w:val="000000"/>
        </w:rPr>
      </w:pPr>
      <w:r w:rsidRPr="00C86D95">
        <w:rPr>
          <w:rFonts w:ascii="Arial Narrow" w:hAnsi="Arial Narrow"/>
          <w:color w:val="000000"/>
        </w:rPr>
        <w:t>Because state governments received budgetary allocations as manna from oil revenue, the governments at the federal, state, and local levels left no role for citizens in revenue generation</w:t>
      </w:r>
      <w:r>
        <w:rPr>
          <w:rFonts w:ascii="Arial Narrow" w:hAnsi="Arial Narrow"/>
          <w:color w:val="000000"/>
        </w:rPr>
        <w:t>, before now</w:t>
      </w:r>
      <w:r w:rsidRPr="00C86D95">
        <w:rPr>
          <w:rFonts w:ascii="Arial Narrow" w:hAnsi="Arial Narrow"/>
          <w:color w:val="000000"/>
        </w:rPr>
        <w:t xml:space="preserve">. Multinational oil </w:t>
      </w:r>
      <w:proofErr w:type="gramStart"/>
      <w:r w:rsidRPr="00C86D95">
        <w:rPr>
          <w:rFonts w:ascii="Arial Narrow" w:hAnsi="Arial Narrow"/>
          <w:color w:val="000000"/>
        </w:rPr>
        <w:t>companies</w:t>
      </w:r>
      <w:proofErr w:type="gramEnd"/>
      <w:r w:rsidRPr="00C86D95">
        <w:rPr>
          <w:rFonts w:ascii="Arial Narrow" w:hAnsi="Arial Narrow"/>
          <w:color w:val="000000"/>
        </w:rPr>
        <w:t xml:space="preserve"> dispensed money to the federal government which in turn dispensed some to the states and local governments to pay salaries to workers, keep minimum level of infrastructure, and </w:t>
      </w:r>
      <w:r>
        <w:rPr>
          <w:rFonts w:ascii="Arial Narrow" w:hAnsi="Arial Narrow"/>
          <w:color w:val="000000"/>
        </w:rPr>
        <w:t>service socio-political structures</w:t>
      </w:r>
      <w:r w:rsidRPr="00C86D95">
        <w:rPr>
          <w:rFonts w:ascii="Arial Narrow" w:hAnsi="Arial Narrow"/>
          <w:color w:val="000000"/>
        </w:rPr>
        <w:t xml:space="preserve">. In effect, citizens themselves acted as if there was nothing else to do, apart from petitioning for new states or local governments that would bring additional oil money to leaders to spend as they deem fit. Citizens could not act as stakeholders in regular democratic settings. </w:t>
      </w:r>
    </w:p>
    <w:p w:rsidR="00C86D95" w:rsidRPr="00C86D95" w:rsidRDefault="002C7624" w:rsidP="00C86D95">
      <w:pPr>
        <w:pStyle w:val="NormalWeb"/>
        <w:jc w:val="both"/>
        <w:rPr>
          <w:rFonts w:ascii="Arial Narrow" w:hAnsi="Arial Narrow"/>
          <w:color w:val="000000"/>
        </w:rPr>
      </w:pPr>
      <w:r>
        <w:rPr>
          <w:rFonts w:ascii="Arial Narrow" w:hAnsi="Arial Narrow"/>
          <w:color w:val="000000"/>
        </w:rPr>
        <w:t>Cross River</w:t>
      </w:r>
      <w:r w:rsidR="00C86D95" w:rsidRPr="00C86D95">
        <w:rPr>
          <w:rFonts w:ascii="Arial Narrow" w:hAnsi="Arial Narrow"/>
          <w:color w:val="000000"/>
        </w:rPr>
        <w:t xml:space="preserve"> State government</w:t>
      </w:r>
      <w:r>
        <w:rPr>
          <w:rFonts w:ascii="Arial Narrow" w:hAnsi="Arial Narrow"/>
          <w:color w:val="000000"/>
        </w:rPr>
        <w:t xml:space="preserve"> is</w:t>
      </w:r>
      <w:r w:rsidR="00C86D95" w:rsidRPr="00C86D95">
        <w:rPr>
          <w:rFonts w:ascii="Arial Narrow" w:hAnsi="Arial Narrow"/>
          <w:color w:val="000000"/>
        </w:rPr>
        <w:t xml:space="preserve"> embark</w:t>
      </w:r>
      <w:r>
        <w:rPr>
          <w:rFonts w:ascii="Arial Narrow" w:hAnsi="Arial Narrow"/>
          <w:color w:val="000000"/>
        </w:rPr>
        <w:t>ing</w:t>
      </w:r>
      <w:r w:rsidR="00C86D95" w:rsidRPr="00C86D95">
        <w:rPr>
          <w:rFonts w:ascii="Arial Narrow" w:hAnsi="Arial Narrow"/>
          <w:color w:val="000000"/>
        </w:rPr>
        <w:t xml:space="preserve"> on aggressive tax drive to increase the dwindling reven</w:t>
      </w:r>
      <w:r>
        <w:rPr>
          <w:rFonts w:ascii="Arial Narrow" w:hAnsi="Arial Narrow"/>
          <w:color w:val="000000"/>
        </w:rPr>
        <w:t>ue from federal allocations</w:t>
      </w:r>
      <w:r w:rsidR="00C86D95" w:rsidRPr="00C86D95">
        <w:rPr>
          <w:rFonts w:ascii="Arial Narrow" w:hAnsi="Arial Narrow"/>
          <w:color w:val="000000"/>
        </w:rPr>
        <w:t xml:space="preserve"> funds from petroleum. Businesses and individuals not used to paying taxes under the government of manna for over three decades are experiencing difficulty in responding to states’ demand for tax payment. In addition, citizens and businesses are unable to trust governments with their money, having failed for decades to reap dividends of petroleum drilling. State governments are however right to now demand taxes from citizens for development projects. </w:t>
      </w:r>
    </w:p>
    <w:p w:rsidR="00C86D95" w:rsidRPr="00C86D95" w:rsidRDefault="00C86D95" w:rsidP="00C86D95">
      <w:pPr>
        <w:pStyle w:val="NormalWeb"/>
        <w:jc w:val="both"/>
        <w:rPr>
          <w:rFonts w:ascii="Arial Narrow" w:hAnsi="Arial Narrow"/>
          <w:color w:val="000000"/>
        </w:rPr>
      </w:pPr>
      <w:r w:rsidRPr="00C86D95">
        <w:rPr>
          <w:rFonts w:ascii="Arial Narrow" w:hAnsi="Arial Narrow"/>
          <w:color w:val="000000"/>
        </w:rPr>
        <w:t>The relative fall in oil revenue is now waking many governors up from their slumber to send emissaries to Lagos on how to develop strategies for increasing revenue. Asking people and businesses to pay taxes is recognizing their centrality to governance. It is the people that respond to IGR drives by gove</w:t>
      </w:r>
      <w:r w:rsidRPr="002C7624">
        <w:rPr>
          <w:rFonts w:ascii="Arial Narrow" w:hAnsi="Arial Narrow"/>
          <w:color w:val="000000"/>
        </w:rPr>
        <w:t xml:space="preserve">rnments across the country that must imbibe the values that accompany taxation of human activities. </w:t>
      </w:r>
      <w:r w:rsidR="002C7624" w:rsidRPr="002C7624">
        <w:rPr>
          <w:rFonts w:ascii="Arial Narrow" w:hAnsi="Arial Narrow"/>
          <w:color w:val="000000"/>
        </w:rPr>
        <w:t>Like many things in life, State Governments’ aggressiveness in tax collection may generate some unintended consequence: political empowerment of the citizenry, especially if the citizens are ready to pluck the courage to put their money only where their mouth is or put their mouth where their money is.</w:t>
      </w:r>
    </w:p>
    <w:p w:rsidR="00814501" w:rsidRDefault="00C86D95" w:rsidP="00C86D95">
      <w:pPr>
        <w:pStyle w:val="NormalWeb"/>
        <w:jc w:val="both"/>
        <w:rPr>
          <w:rFonts w:ascii="Arial Narrow" w:hAnsi="Arial Narrow"/>
          <w:color w:val="000000"/>
        </w:rPr>
      </w:pPr>
      <w:r w:rsidRPr="00C86D95">
        <w:rPr>
          <w:rFonts w:ascii="Arial Narrow" w:hAnsi="Arial Narrow"/>
          <w:color w:val="000000"/>
        </w:rPr>
        <w:t xml:space="preserve">Lagos State has shown that more revenue can come to states from sources other than oil. When such funds come from taxation, taxpaying citizens will be empowered more than ever before. They can choose, as Thomas Paine once preached, to refuse to pay unjust taxes or to pay taxes to unjust governments. The consciousness engendered by the feeling of efficacy on the part of citizens that pay taxes is likely to put a </w:t>
      </w:r>
      <w:r w:rsidRPr="00C86D95">
        <w:rPr>
          <w:rFonts w:ascii="Arial Narrow" w:hAnsi="Arial Narrow"/>
          <w:color w:val="000000"/>
        </w:rPr>
        <w:lastRenderedPageBreak/>
        <w:t>bad government on collision cause with its citizens. But it is such governments that will l</w:t>
      </w:r>
      <w:r w:rsidR="002C7624">
        <w:rPr>
          <w:rFonts w:ascii="Arial Narrow" w:hAnsi="Arial Narrow"/>
          <w:color w:val="000000"/>
        </w:rPr>
        <w:t>ose at</w:t>
      </w:r>
      <w:r w:rsidRPr="00C86D95">
        <w:rPr>
          <w:rFonts w:ascii="Arial Narrow" w:hAnsi="Arial Narrow"/>
          <w:color w:val="000000"/>
        </w:rPr>
        <w:t xml:space="preserve"> the end, because the leverage to make money available for the exercise of political power is now shifting to the citizen. </w:t>
      </w:r>
    </w:p>
    <w:p w:rsidR="00C86D95" w:rsidRPr="00C86D95" w:rsidRDefault="00C86D95" w:rsidP="00C86D95">
      <w:pPr>
        <w:pStyle w:val="NormalWeb"/>
        <w:jc w:val="both"/>
        <w:rPr>
          <w:rFonts w:ascii="Arial Narrow" w:hAnsi="Arial Narrow"/>
          <w:color w:val="000000"/>
        </w:rPr>
      </w:pPr>
      <w:r w:rsidRPr="00C86D95">
        <w:rPr>
          <w:rFonts w:ascii="Arial Narrow" w:hAnsi="Arial Narrow"/>
          <w:color w:val="000000"/>
        </w:rPr>
        <w:t>States’ reliance on internally generated revenue is also likely to warn agitators for infinite number of states that there may be no money to fund the bureaucracies of such states if they lack actual population to support IGR. In addition, revenue from personal income and consumption tax may put an end to census controversy, as it is likely to reveal the actual demographic strength of existing states and local governments. Professional petitioners for new local governments may now have to look elsewhere for high-paying sinecures.</w:t>
      </w:r>
    </w:p>
    <w:p w:rsidR="00C86D95" w:rsidRPr="00C86D95" w:rsidRDefault="00C86D95" w:rsidP="00C86D95">
      <w:pPr>
        <w:pStyle w:val="NormalWeb"/>
        <w:jc w:val="both"/>
        <w:rPr>
          <w:rFonts w:ascii="Arial Narrow" w:hAnsi="Arial Narrow"/>
          <w:color w:val="000000"/>
        </w:rPr>
      </w:pPr>
      <w:r w:rsidRPr="00C86D95">
        <w:rPr>
          <w:rFonts w:ascii="Arial Narrow" w:hAnsi="Arial Narrow"/>
          <w:color w:val="000000"/>
        </w:rPr>
        <w:t xml:space="preserve">More importantly, one challenge to come from revenue mobilization efforts thrown up by dwindling resources from petroleum is that citizens will be moved to the centre of governance as taxpayers. It is better for citizens to sacrifice some of their </w:t>
      </w:r>
      <w:proofErr w:type="spellStart"/>
      <w:r w:rsidRPr="00C86D95">
        <w:rPr>
          <w:rFonts w:ascii="Arial Narrow" w:hAnsi="Arial Narrow"/>
          <w:color w:val="000000"/>
        </w:rPr>
        <w:t>meager</w:t>
      </w:r>
      <w:proofErr w:type="spellEnd"/>
      <w:r w:rsidRPr="00C86D95">
        <w:rPr>
          <w:rFonts w:ascii="Arial Narrow" w:hAnsi="Arial Narrow"/>
          <w:color w:val="000000"/>
        </w:rPr>
        <w:t xml:space="preserve"> resources for a new stake in governance. There is a need for the middle-class to assist in forming local associations to make citizens realize the incipient power that may grow phenomenally from acorn to oak status in a political space in which governors now need financial support of their constituents.</w:t>
      </w:r>
      <w:r w:rsidR="00814501">
        <w:rPr>
          <w:rFonts w:ascii="Arial Narrow" w:hAnsi="Arial Narrow"/>
          <w:color w:val="000000"/>
        </w:rPr>
        <w:t xml:space="preserve"> </w:t>
      </w:r>
      <w:r w:rsidR="00814501" w:rsidRPr="00C86D95">
        <w:rPr>
          <w:rFonts w:ascii="Arial Narrow" w:hAnsi="Arial Narrow"/>
          <w:color w:val="000000"/>
        </w:rPr>
        <w:t xml:space="preserve">Although it is a significant act of sacrifice to pay taxes from </w:t>
      </w:r>
      <w:proofErr w:type="spellStart"/>
      <w:r w:rsidR="00814501" w:rsidRPr="00C86D95">
        <w:rPr>
          <w:rFonts w:ascii="Arial Narrow" w:hAnsi="Arial Narrow"/>
          <w:color w:val="000000"/>
        </w:rPr>
        <w:t>meager</w:t>
      </w:r>
      <w:proofErr w:type="spellEnd"/>
      <w:r w:rsidR="00814501" w:rsidRPr="00C86D95">
        <w:rPr>
          <w:rFonts w:ascii="Arial Narrow" w:hAnsi="Arial Narrow"/>
          <w:color w:val="000000"/>
        </w:rPr>
        <w:t xml:space="preserve"> incomes, citizens and businesses should not refuse to pay taxes. The decrease in petroleum revenue may be a blessing in disguise for tax-paying citizens. They may finally get to the position to dictate the tune of development, because they now (not petroleum revenue) pay most of the piper.</w:t>
      </w:r>
    </w:p>
    <w:p w:rsidR="00C86D95" w:rsidRPr="00C86D95" w:rsidRDefault="00C86D95" w:rsidP="00C86D95">
      <w:pPr>
        <w:pStyle w:val="NormalWeb"/>
        <w:jc w:val="both"/>
        <w:rPr>
          <w:rFonts w:ascii="Arial Narrow" w:hAnsi="Arial Narrow"/>
          <w:color w:val="000000"/>
        </w:rPr>
      </w:pPr>
      <w:r w:rsidRPr="00C86D95">
        <w:rPr>
          <w:rFonts w:ascii="Arial Narrow" w:hAnsi="Arial Narrow"/>
          <w:color w:val="000000"/>
        </w:rPr>
        <w:t>Another challenge is for citizens to extend the culture of IGR to political parties. Politics has become in general a godfather’s business just as governance has been in an economy that meets all of its needs from sale of petroleum. Political godfathers and godmothers are individuals who spend resources at their disposal to form and nurture parties in order to have the power to determine who gets selected to contest for executive and legislative offices. Political parties that go to the grassroots and make citizens pay towards election expenses will gain more democratic mileage than those that depend on donations from political godfathers functioning as governors.</w:t>
      </w:r>
    </w:p>
    <w:p w:rsidR="00C86D95" w:rsidRPr="00C17F99" w:rsidRDefault="00C86D95" w:rsidP="002653E3">
      <w:pPr>
        <w:spacing w:line="240" w:lineRule="auto"/>
        <w:jc w:val="both"/>
        <w:rPr>
          <w:rFonts w:ascii="Arial Narrow" w:hAnsi="Arial Narrow"/>
          <w:b/>
          <w:sz w:val="24"/>
          <w:szCs w:val="24"/>
        </w:rPr>
      </w:pPr>
    </w:p>
    <w:p w:rsidR="000E46C2" w:rsidRPr="00C17F99" w:rsidRDefault="008B470C" w:rsidP="002653E3">
      <w:pPr>
        <w:spacing w:line="240" w:lineRule="auto"/>
        <w:jc w:val="both"/>
        <w:rPr>
          <w:rFonts w:ascii="Arial Narrow" w:hAnsi="Arial Narrow"/>
          <w:b/>
          <w:sz w:val="24"/>
          <w:szCs w:val="24"/>
        </w:rPr>
      </w:pPr>
      <w:r>
        <w:rPr>
          <w:rFonts w:ascii="Arial Narrow" w:hAnsi="Arial Narrow"/>
          <w:b/>
          <w:sz w:val="24"/>
          <w:szCs w:val="24"/>
        </w:rPr>
        <w:t>7</w:t>
      </w:r>
      <w:r w:rsidR="0048311E">
        <w:rPr>
          <w:rFonts w:ascii="Arial Narrow" w:hAnsi="Arial Narrow"/>
          <w:b/>
          <w:sz w:val="24"/>
          <w:szCs w:val="24"/>
        </w:rPr>
        <w:t>.</w:t>
      </w:r>
      <w:r w:rsidR="0048311E">
        <w:rPr>
          <w:rFonts w:ascii="Arial Narrow" w:hAnsi="Arial Narrow"/>
          <w:b/>
          <w:sz w:val="24"/>
          <w:szCs w:val="24"/>
        </w:rPr>
        <w:tab/>
      </w:r>
      <w:r w:rsidR="00F80C0A" w:rsidRPr="00C17F99">
        <w:rPr>
          <w:rFonts w:ascii="Arial Narrow" w:hAnsi="Arial Narrow"/>
          <w:b/>
          <w:sz w:val="24"/>
          <w:szCs w:val="24"/>
        </w:rPr>
        <w:t xml:space="preserve">THE </w:t>
      </w:r>
      <w:r w:rsidR="000E46C2" w:rsidRPr="00C17F99">
        <w:rPr>
          <w:rFonts w:ascii="Arial Narrow" w:hAnsi="Arial Narrow"/>
          <w:b/>
          <w:sz w:val="24"/>
          <w:szCs w:val="24"/>
        </w:rPr>
        <w:t>WAY FORWARD</w:t>
      </w:r>
    </w:p>
    <w:p w:rsidR="000E46C2" w:rsidRPr="00C17F99" w:rsidRDefault="008F5259" w:rsidP="002653E3">
      <w:pPr>
        <w:pStyle w:val="ListParagraph"/>
        <w:spacing w:line="240" w:lineRule="auto"/>
        <w:ind w:left="0"/>
        <w:jc w:val="both"/>
        <w:rPr>
          <w:rFonts w:ascii="Arial Narrow" w:hAnsi="Arial Narrow"/>
          <w:sz w:val="24"/>
          <w:szCs w:val="24"/>
        </w:rPr>
      </w:pPr>
      <w:r w:rsidRPr="00C17F99">
        <w:rPr>
          <w:rFonts w:ascii="Arial Narrow" w:hAnsi="Arial Narrow"/>
          <w:sz w:val="24"/>
          <w:szCs w:val="24"/>
        </w:rPr>
        <w:t xml:space="preserve">Today, tax authorities world-wide are redesigning their business processes, automating their assessment, collection, monitoring and accounting machineries and use of internet and communication equipment for prompt service delivery. </w:t>
      </w:r>
      <w:r w:rsidR="000E46C2" w:rsidRPr="00C17F99">
        <w:rPr>
          <w:rFonts w:ascii="Arial Narrow" w:hAnsi="Arial Narrow"/>
          <w:sz w:val="24"/>
          <w:szCs w:val="24"/>
        </w:rPr>
        <w:t xml:space="preserve">To meet the challenges of revenue generation in the nearest future, the following key strategic </w:t>
      </w:r>
      <w:r w:rsidR="00D63159" w:rsidRPr="00C17F99">
        <w:rPr>
          <w:rFonts w:ascii="Arial Narrow" w:hAnsi="Arial Narrow"/>
          <w:sz w:val="24"/>
          <w:szCs w:val="24"/>
        </w:rPr>
        <w:t xml:space="preserve">initiatives </w:t>
      </w:r>
      <w:r w:rsidR="000E46C2" w:rsidRPr="00C17F99">
        <w:rPr>
          <w:rFonts w:ascii="Arial Narrow" w:hAnsi="Arial Narrow"/>
          <w:sz w:val="24"/>
          <w:szCs w:val="24"/>
        </w:rPr>
        <w:t>have been adopted:</w:t>
      </w:r>
    </w:p>
    <w:p w:rsidR="000E46C2" w:rsidRPr="00C17F99" w:rsidRDefault="000E46C2" w:rsidP="002653E3">
      <w:pPr>
        <w:pStyle w:val="ListParagraph"/>
        <w:numPr>
          <w:ilvl w:val="0"/>
          <w:numId w:val="9"/>
        </w:numPr>
        <w:spacing w:line="240" w:lineRule="auto"/>
        <w:ind w:left="1134" w:hanging="708"/>
        <w:jc w:val="both"/>
        <w:rPr>
          <w:rFonts w:ascii="Arial Narrow" w:hAnsi="Arial Narrow"/>
          <w:sz w:val="24"/>
          <w:szCs w:val="24"/>
        </w:rPr>
      </w:pPr>
      <w:r w:rsidRPr="00C17F99">
        <w:rPr>
          <w:rFonts w:ascii="Arial Narrow" w:hAnsi="Arial Narrow"/>
          <w:sz w:val="24"/>
          <w:szCs w:val="24"/>
        </w:rPr>
        <w:t>Maximisation of internally generated revenue (IGR) by reviewing, streamlining and strengthening the organisation and Governance structure, reforming business processes and procedures and strengthening management controls (risk management).</w:t>
      </w:r>
    </w:p>
    <w:p w:rsidR="000E46C2" w:rsidRPr="00C17F99" w:rsidRDefault="000E46C2" w:rsidP="002653E3">
      <w:pPr>
        <w:pStyle w:val="ListParagraph"/>
        <w:numPr>
          <w:ilvl w:val="0"/>
          <w:numId w:val="9"/>
        </w:numPr>
        <w:spacing w:line="240" w:lineRule="auto"/>
        <w:ind w:left="1134" w:hanging="709"/>
        <w:jc w:val="both"/>
        <w:rPr>
          <w:rFonts w:ascii="Arial Narrow" w:hAnsi="Arial Narrow"/>
          <w:sz w:val="24"/>
          <w:szCs w:val="24"/>
        </w:rPr>
      </w:pPr>
      <w:r w:rsidRPr="00C17F99">
        <w:rPr>
          <w:rFonts w:ascii="Arial Narrow" w:hAnsi="Arial Narrow"/>
          <w:sz w:val="24"/>
          <w:szCs w:val="24"/>
        </w:rPr>
        <w:t>Promotion of a fair, equitable and transparent tax system by embarking on a taxpayer education and public awareness, enhancing service delivery to taxpayers and all other stakeholders, and refocusing effort on integrity to eliminate revenue leakages and foster a positive corporate image.</w:t>
      </w:r>
    </w:p>
    <w:p w:rsidR="000E46C2" w:rsidRPr="00C17F99" w:rsidRDefault="000E46C2" w:rsidP="002653E3">
      <w:pPr>
        <w:pStyle w:val="ListParagraph"/>
        <w:numPr>
          <w:ilvl w:val="0"/>
          <w:numId w:val="9"/>
        </w:numPr>
        <w:spacing w:line="240" w:lineRule="auto"/>
        <w:ind w:left="1134" w:hanging="708"/>
        <w:jc w:val="both"/>
        <w:rPr>
          <w:rFonts w:ascii="Arial Narrow" w:hAnsi="Arial Narrow"/>
          <w:sz w:val="24"/>
          <w:szCs w:val="24"/>
        </w:rPr>
      </w:pPr>
      <w:r w:rsidRPr="00C17F99">
        <w:rPr>
          <w:rFonts w:ascii="Arial Narrow" w:hAnsi="Arial Narrow"/>
          <w:sz w:val="24"/>
          <w:szCs w:val="24"/>
        </w:rPr>
        <w:lastRenderedPageBreak/>
        <w:t>Promotion of voluntary tax compliance by simplifying taxpayer compliance procedures through harmonisation, standardisation and automation of procedures and processes to minimise compliance costs and ensure uniformity in enforcing the tax laws.</w:t>
      </w:r>
    </w:p>
    <w:p w:rsidR="000E46C2" w:rsidRPr="00C17F99" w:rsidRDefault="000E46C2" w:rsidP="002653E3">
      <w:pPr>
        <w:pStyle w:val="ListParagraph"/>
        <w:numPr>
          <w:ilvl w:val="0"/>
          <w:numId w:val="9"/>
        </w:numPr>
        <w:spacing w:line="240" w:lineRule="auto"/>
        <w:ind w:left="1134" w:hanging="567"/>
        <w:jc w:val="both"/>
        <w:rPr>
          <w:rFonts w:ascii="Arial Narrow" w:hAnsi="Arial Narrow"/>
          <w:sz w:val="24"/>
          <w:szCs w:val="24"/>
        </w:rPr>
      </w:pPr>
      <w:r w:rsidRPr="00C17F99">
        <w:rPr>
          <w:rFonts w:ascii="Arial Narrow" w:hAnsi="Arial Narrow"/>
          <w:sz w:val="24"/>
          <w:szCs w:val="24"/>
        </w:rPr>
        <w:t>Modernisation of Internal Revenue Service by computerising the key operations to reduce human interventions in tax transactions and hence minimise chances of corrupt practices.</w:t>
      </w:r>
    </w:p>
    <w:p w:rsidR="000E46C2" w:rsidRPr="00C17F99" w:rsidRDefault="000E46C2" w:rsidP="002653E3">
      <w:pPr>
        <w:pStyle w:val="ListParagraph"/>
        <w:numPr>
          <w:ilvl w:val="0"/>
          <w:numId w:val="9"/>
        </w:numPr>
        <w:spacing w:line="240" w:lineRule="auto"/>
        <w:ind w:left="1134" w:hanging="567"/>
        <w:jc w:val="both"/>
        <w:rPr>
          <w:rFonts w:ascii="Arial Narrow" w:hAnsi="Arial Narrow"/>
          <w:sz w:val="24"/>
          <w:szCs w:val="24"/>
        </w:rPr>
      </w:pPr>
      <w:r w:rsidRPr="00C17F99">
        <w:rPr>
          <w:rFonts w:ascii="Arial Narrow" w:hAnsi="Arial Narrow"/>
          <w:sz w:val="24"/>
          <w:szCs w:val="24"/>
        </w:rPr>
        <w:t>Utilization and development of physical and IT infrastructure, for a credible tax database and embarking on the process of continuously developing, sustaining and retaining a highly professional, motivated and proactive workforce that will ensure attainment of the strategic vision of the IRS.</w:t>
      </w:r>
    </w:p>
    <w:p w:rsidR="000E46C2" w:rsidRPr="00C17F99" w:rsidRDefault="000E46C2" w:rsidP="002653E3">
      <w:pPr>
        <w:spacing w:line="240" w:lineRule="auto"/>
        <w:jc w:val="both"/>
        <w:rPr>
          <w:rFonts w:ascii="Arial Narrow" w:hAnsi="Arial Narrow"/>
          <w:sz w:val="24"/>
          <w:szCs w:val="24"/>
        </w:rPr>
      </w:pPr>
      <w:r w:rsidRPr="00C17F99">
        <w:rPr>
          <w:rFonts w:ascii="Arial Narrow" w:hAnsi="Arial Narrow"/>
          <w:sz w:val="24"/>
          <w:szCs w:val="24"/>
        </w:rPr>
        <w:t>The opportunities created by new technologies will facilitate sustainable change in the face of making the payment of taxes easier, faster and cheaper. In addition, there is undisputable need to review and effect necessary changes to the tax system to embrace better and modern technologies of tax administration. This calls for reasonable freedom from the traditional civil service institutional arrangements so as to adopt new ways of working and funding the revenue agencies to cope with the ever growing budgetary demands ahead.</w:t>
      </w:r>
    </w:p>
    <w:p w:rsidR="005B7624" w:rsidRPr="00C17F99" w:rsidRDefault="000E46C2" w:rsidP="002653E3">
      <w:pPr>
        <w:spacing w:line="240" w:lineRule="auto"/>
        <w:jc w:val="both"/>
        <w:rPr>
          <w:rFonts w:ascii="Arial Narrow" w:hAnsi="Arial Narrow"/>
          <w:sz w:val="24"/>
          <w:szCs w:val="24"/>
        </w:rPr>
      </w:pPr>
      <w:r w:rsidRPr="00C17F99">
        <w:rPr>
          <w:rFonts w:ascii="Arial Narrow" w:hAnsi="Arial Narrow"/>
          <w:sz w:val="24"/>
          <w:szCs w:val="24"/>
        </w:rPr>
        <w:t xml:space="preserve">The tax agencies also needs to effect changes in the Human Resource (HR) function in order to achieve the ambitious but attainable objective of developing, sustaining and retaining a significantly competence, motivated and proactive workforce. These changes will entail carrying out significant reforms in the conditions of service, capacity building at technical and management levels and targeting the achievement of high performance from all staff. It will also entail instituting a series of integrity enhancement </w:t>
      </w:r>
      <w:proofErr w:type="spellStart"/>
      <w:r w:rsidRPr="00C17F99">
        <w:rPr>
          <w:rFonts w:ascii="Arial Narrow" w:hAnsi="Arial Narrow"/>
          <w:sz w:val="24"/>
          <w:szCs w:val="24"/>
        </w:rPr>
        <w:t>programmes</w:t>
      </w:r>
      <w:proofErr w:type="spellEnd"/>
      <w:r w:rsidRPr="00C17F99">
        <w:rPr>
          <w:rFonts w:ascii="Arial Narrow" w:hAnsi="Arial Narrow"/>
          <w:sz w:val="24"/>
          <w:szCs w:val="24"/>
        </w:rPr>
        <w:t xml:space="preserve"> to enforce high standards of ethics and integrity for all staff to combat graft/corruption. This of course calls for substantial investment in capacity building, exposures and mentoring so as to import best international tax management practices, analysis, planning and budgetary systems into the tax agencies. A highly professional team is required to lead and take full charge of the tax </w:t>
      </w:r>
      <w:proofErr w:type="spellStart"/>
      <w:r w:rsidRPr="00C17F99">
        <w:rPr>
          <w:rFonts w:ascii="Arial Narrow" w:hAnsi="Arial Narrow"/>
          <w:sz w:val="24"/>
          <w:szCs w:val="24"/>
        </w:rPr>
        <w:t>modernisation</w:t>
      </w:r>
      <w:proofErr w:type="spellEnd"/>
      <w:r w:rsidRPr="00C17F99">
        <w:rPr>
          <w:rFonts w:ascii="Arial Narrow" w:hAnsi="Arial Narrow"/>
          <w:sz w:val="24"/>
          <w:szCs w:val="24"/>
        </w:rPr>
        <w:t xml:space="preserve"> drive for an exciting future.</w:t>
      </w:r>
    </w:p>
    <w:p w:rsidR="005B7624" w:rsidRPr="00C17F99" w:rsidRDefault="005B7624" w:rsidP="002653E3">
      <w:pPr>
        <w:spacing w:line="240" w:lineRule="auto"/>
        <w:jc w:val="both"/>
        <w:rPr>
          <w:rFonts w:ascii="Arial Narrow" w:hAnsi="Arial Narrow"/>
          <w:sz w:val="24"/>
          <w:szCs w:val="24"/>
        </w:rPr>
      </w:pPr>
    </w:p>
    <w:p w:rsidR="000E46C2" w:rsidRPr="00C17F99" w:rsidRDefault="008B470C" w:rsidP="002653E3">
      <w:pPr>
        <w:spacing w:line="240" w:lineRule="auto"/>
        <w:jc w:val="both"/>
        <w:rPr>
          <w:rFonts w:ascii="Arial Narrow" w:hAnsi="Arial Narrow"/>
          <w:sz w:val="24"/>
          <w:szCs w:val="24"/>
        </w:rPr>
      </w:pPr>
      <w:r>
        <w:rPr>
          <w:rFonts w:ascii="Arial Narrow" w:hAnsi="Arial Narrow"/>
          <w:b/>
          <w:sz w:val="24"/>
          <w:szCs w:val="24"/>
        </w:rPr>
        <w:t>8</w:t>
      </w:r>
      <w:r w:rsidR="0048311E">
        <w:rPr>
          <w:rFonts w:ascii="Arial Narrow" w:hAnsi="Arial Narrow"/>
          <w:b/>
          <w:sz w:val="24"/>
          <w:szCs w:val="24"/>
        </w:rPr>
        <w:t>.</w:t>
      </w:r>
      <w:r w:rsidR="0048311E">
        <w:rPr>
          <w:rFonts w:ascii="Arial Narrow" w:hAnsi="Arial Narrow"/>
          <w:b/>
          <w:sz w:val="24"/>
          <w:szCs w:val="24"/>
        </w:rPr>
        <w:tab/>
      </w:r>
      <w:r>
        <w:rPr>
          <w:rFonts w:ascii="Arial Narrow" w:hAnsi="Arial Narrow"/>
          <w:b/>
          <w:sz w:val="24"/>
          <w:szCs w:val="24"/>
        </w:rPr>
        <w:t>CONCLUDING REMARKS</w:t>
      </w:r>
    </w:p>
    <w:p w:rsidR="000E46C2" w:rsidRPr="00C17F99" w:rsidRDefault="000E46C2" w:rsidP="002653E3">
      <w:pPr>
        <w:spacing w:line="240" w:lineRule="auto"/>
        <w:jc w:val="both"/>
        <w:rPr>
          <w:rFonts w:ascii="Arial Narrow" w:hAnsi="Arial Narrow"/>
          <w:sz w:val="24"/>
          <w:szCs w:val="24"/>
        </w:rPr>
      </w:pPr>
      <w:r w:rsidRPr="00C17F99">
        <w:rPr>
          <w:rFonts w:ascii="Arial Narrow" w:hAnsi="Arial Narrow"/>
          <w:sz w:val="24"/>
          <w:szCs w:val="24"/>
        </w:rPr>
        <w:t>As earlier discussed, the activities of government world over is funded by its ability to pull all revenues together and this can only be achieved when all necessary modern reforms capable of enabling Revenue Agencies to perform their duties at optimum level are put in place.</w:t>
      </w:r>
      <w:r w:rsidR="008B470C">
        <w:rPr>
          <w:rFonts w:ascii="Arial Narrow" w:hAnsi="Arial Narrow"/>
          <w:sz w:val="24"/>
          <w:szCs w:val="24"/>
        </w:rPr>
        <w:t xml:space="preserve"> </w:t>
      </w:r>
      <w:r w:rsidRPr="00C17F99">
        <w:rPr>
          <w:rFonts w:ascii="Arial Narrow" w:hAnsi="Arial Narrow"/>
          <w:sz w:val="24"/>
          <w:szCs w:val="24"/>
        </w:rPr>
        <w:t>These reforms or innovations have become very necessary in the wake of the dwindling and unstable prices of crude oil that has been the major source of government funding.</w:t>
      </w:r>
    </w:p>
    <w:p w:rsidR="000E46C2" w:rsidRPr="00C17F99" w:rsidRDefault="000E46C2" w:rsidP="002653E3">
      <w:pPr>
        <w:spacing w:line="240" w:lineRule="auto"/>
        <w:jc w:val="both"/>
        <w:rPr>
          <w:rFonts w:ascii="Arial Narrow" w:hAnsi="Arial Narrow"/>
          <w:sz w:val="24"/>
          <w:szCs w:val="24"/>
        </w:rPr>
      </w:pPr>
      <w:r w:rsidRPr="00C17F99">
        <w:rPr>
          <w:rFonts w:ascii="Arial Narrow" w:hAnsi="Arial Narrow"/>
          <w:sz w:val="24"/>
          <w:szCs w:val="24"/>
        </w:rPr>
        <w:t>Though, Revenue Agencies in developing countries are confronted with non-compliance attitude of taxpayers which adequate and massive Tax Education and Enlightenment amongst other reforms earlier mentioned will simplify revenue generation.</w:t>
      </w:r>
      <w:r w:rsidR="008B470C">
        <w:rPr>
          <w:rFonts w:ascii="Arial Narrow" w:hAnsi="Arial Narrow"/>
          <w:sz w:val="24"/>
          <w:szCs w:val="24"/>
        </w:rPr>
        <w:t xml:space="preserve"> </w:t>
      </w:r>
      <w:r w:rsidRPr="00C17F99">
        <w:rPr>
          <w:rFonts w:ascii="Arial Narrow" w:hAnsi="Arial Narrow"/>
          <w:sz w:val="24"/>
          <w:szCs w:val="24"/>
        </w:rPr>
        <w:t>However, Revenue Agencies should carefully study the tax regulations and create additional revenue sources that will ensure an enhanced revenue profile other than absolute reliance on the proceeds of crude oil which may likely dry up one day.</w:t>
      </w:r>
    </w:p>
    <w:p w:rsidR="000E46C2" w:rsidRPr="00C17F99" w:rsidRDefault="000E46C2" w:rsidP="002653E3">
      <w:pPr>
        <w:spacing w:line="240" w:lineRule="auto"/>
        <w:jc w:val="both"/>
        <w:rPr>
          <w:rFonts w:ascii="Arial Narrow" w:hAnsi="Arial Narrow"/>
          <w:sz w:val="24"/>
          <w:szCs w:val="24"/>
        </w:rPr>
      </w:pPr>
      <w:r w:rsidRPr="00C17F99">
        <w:rPr>
          <w:rFonts w:ascii="Arial Narrow" w:hAnsi="Arial Narrow"/>
          <w:sz w:val="24"/>
          <w:szCs w:val="24"/>
        </w:rPr>
        <w:t>Information Technology (IT) infrastructure is a critical factor in the ability to provide for cost effective delivery of services. As with many other large organizations, tax administrations access to information is critically dependent on the reliability and performance of the network and system infrastructure.</w:t>
      </w:r>
    </w:p>
    <w:p w:rsidR="000E46C2" w:rsidRPr="00C17F99" w:rsidRDefault="000E46C2" w:rsidP="002653E3">
      <w:pPr>
        <w:spacing w:line="240" w:lineRule="auto"/>
        <w:jc w:val="both"/>
        <w:rPr>
          <w:rFonts w:ascii="Arial Narrow" w:hAnsi="Arial Narrow"/>
          <w:sz w:val="24"/>
          <w:szCs w:val="24"/>
        </w:rPr>
      </w:pPr>
      <w:r w:rsidRPr="00C17F99">
        <w:rPr>
          <w:rFonts w:ascii="Arial Narrow" w:hAnsi="Arial Narrow"/>
          <w:sz w:val="24"/>
          <w:szCs w:val="24"/>
        </w:rPr>
        <w:lastRenderedPageBreak/>
        <w:t>The rapid pace of change and continuous technical innovation will continue. With each new innovation, technical complexity increases.</w:t>
      </w:r>
      <w:r w:rsidR="008B470C">
        <w:rPr>
          <w:rFonts w:ascii="Arial Narrow" w:hAnsi="Arial Narrow"/>
          <w:sz w:val="24"/>
          <w:szCs w:val="24"/>
        </w:rPr>
        <w:t xml:space="preserve"> </w:t>
      </w:r>
      <w:r w:rsidRPr="00C17F99">
        <w:rPr>
          <w:rFonts w:ascii="Arial Narrow" w:hAnsi="Arial Narrow"/>
          <w:sz w:val="24"/>
          <w:szCs w:val="24"/>
        </w:rPr>
        <w:t xml:space="preserve">Emphasis should therefore be placed on ensuring that IT infrastructure is scalable and open to adopt new technologies to meet short and long term needs of the tax/revenue related business functions. Therein lies the challenge and the political will that is required </w:t>
      </w:r>
      <w:proofErr w:type="gramStart"/>
      <w:r w:rsidRPr="00C17F99">
        <w:rPr>
          <w:rFonts w:ascii="Arial Narrow" w:hAnsi="Arial Narrow"/>
          <w:sz w:val="24"/>
          <w:szCs w:val="24"/>
        </w:rPr>
        <w:t>to drive</w:t>
      </w:r>
      <w:proofErr w:type="gramEnd"/>
      <w:r w:rsidRPr="00C17F99">
        <w:rPr>
          <w:rFonts w:ascii="Arial Narrow" w:hAnsi="Arial Narrow"/>
          <w:sz w:val="24"/>
          <w:szCs w:val="24"/>
        </w:rPr>
        <w:t xml:space="preserve"> the process towards the optimal realization of revenue targets by States in the Country.</w:t>
      </w:r>
    </w:p>
    <w:p w:rsidR="000E46C2" w:rsidRPr="00C17F99" w:rsidRDefault="000E46C2" w:rsidP="002653E3">
      <w:pPr>
        <w:spacing w:line="240" w:lineRule="auto"/>
        <w:jc w:val="both"/>
        <w:rPr>
          <w:rFonts w:ascii="Arial Narrow" w:hAnsi="Arial Narrow"/>
          <w:sz w:val="24"/>
          <w:szCs w:val="24"/>
        </w:rPr>
      </w:pPr>
      <w:r w:rsidRPr="00C17F99">
        <w:rPr>
          <w:rFonts w:ascii="Arial Narrow" w:hAnsi="Arial Narrow"/>
          <w:sz w:val="24"/>
          <w:szCs w:val="24"/>
        </w:rPr>
        <w:t>Thank you.</w:t>
      </w:r>
    </w:p>
    <w:p w:rsidR="00C17F99" w:rsidRPr="00C17F99" w:rsidRDefault="00C17F99">
      <w:pPr>
        <w:suppressAutoHyphens w:val="0"/>
        <w:rPr>
          <w:rFonts w:ascii="Arial Narrow" w:hAnsi="Arial Narrow" w:cs="Arial"/>
          <w:b/>
          <w:sz w:val="24"/>
          <w:szCs w:val="24"/>
        </w:rPr>
      </w:pPr>
    </w:p>
    <w:p w:rsidR="00C17F99" w:rsidRPr="00C17F99" w:rsidRDefault="00C17F99">
      <w:pPr>
        <w:suppressAutoHyphens w:val="0"/>
        <w:rPr>
          <w:rFonts w:ascii="Arial Narrow" w:hAnsi="Arial Narrow" w:cs="Arial"/>
          <w:b/>
          <w:sz w:val="24"/>
          <w:szCs w:val="24"/>
        </w:rPr>
      </w:pPr>
    </w:p>
    <w:p w:rsidR="00C17F99" w:rsidRPr="00C17F99" w:rsidRDefault="00C17F99" w:rsidP="00C17F99">
      <w:pPr>
        <w:suppressAutoHyphens w:val="0"/>
        <w:spacing w:line="240" w:lineRule="auto"/>
        <w:jc w:val="both"/>
        <w:rPr>
          <w:rFonts w:ascii="Arial Narrow" w:hAnsi="Arial Narrow" w:cs="Arial"/>
          <w:b/>
          <w:sz w:val="24"/>
          <w:szCs w:val="24"/>
        </w:rPr>
      </w:pPr>
      <w:r w:rsidRPr="00C17F99">
        <w:rPr>
          <w:rFonts w:ascii="Arial Narrow" w:hAnsi="Arial Narrow" w:cs="Arial"/>
          <w:b/>
          <w:sz w:val="24"/>
          <w:szCs w:val="24"/>
        </w:rPr>
        <w:t>BIBLIOGRAPHY</w:t>
      </w: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roofErr w:type="spellStart"/>
      <w:r w:rsidRPr="00252488">
        <w:rPr>
          <w:rFonts w:ascii="Arial Narrow" w:eastAsiaTheme="minorHAnsi" w:hAnsi="Arial Narrow" w:cs="Times New Roman"/>
          <w:sz w:val="24"/>
          <w:szCs w:val="24"/>
          <w:lang w:eastAsia="en-US"/>
        </w:rPr>
        <w:t>Alabi</w:t>
      </w:r>
      <w:proofErr w:type="spellEnd"/>
      <w:r w:rsidRPr="00252488">
        <w:rPr>
          <w:rFonts w:ascii="Arial Narrow" w:eastAsiaTheme="minorHAnsi" w:hAnsi="Arial Narrow" w:cs="Times New Roman"/>
          <w:sz w:val="24"/>
          <w:szCs w:val="24"/>
          <w:lang w:eastAsia="en-US"/>
        </w:rPr>
        <w:t xml:space="preserve">, </w:t>
      </w:r>
      <w:proofErr w:type="spellStart"/>
      <w:r w:rsidRPr="00252488">
        <w:rPr>
          <w:rFonts w:ascii="Arial Narrow" w:eastAsiaTheme="minorHAnsi" w:hAnsi="Arial Narrow" w:cs="Times New Roman"/>
          <w:sz w:val="24"/>
          <w:szCs w:val="24"/>
          <w:lang w:eastAsia="en-US"/>
        </w:rPr>
        <w:t>Soji</w:t>
      </w:r>
      <w:proofErr w:type="spellEnd"/>
      <w:r w:rsidRPr="00252488">
        <w:rPr>
          <w:rFonts w:ascii="Arial Narrow" w:eastAsiaTheme="minorHAnsi" w:hAnsi="Arial Narrow" w:cs="Times New Roman"/>
          <w:sz w:val="24"/>
          <w:szCs w:val="24"/>
          <w:lang w:eastAsia="en-US"/>
        </w:rPr>
        <w:t xml:space="preserve"> (2001) “Tax Planning” A paper delivered at the Workshop on Nigeria Corporate</w:t>
      </w:r>
    </w:p>
    <w:p w:rsidR="00FA13BA"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roofErr w:type="gramStart"/>
      <w:r w:rsidRPr="00252488">
        <w:rPr>
          <w:rFonts w:ascii="Arial Narrow" w:eastAsiaTheme="minorHAnsi" w:hAnsi="Arial Narrow" w:cs="Times New Roman"/>
          <w:sz w:val="24"/>
          <w:szCs w:val="24"/>
          <w:lang w:eastAsia="en-US"/>
        </w:rPr>
        <w:t>and</w:t>
      </w:r>
      <w:proofErr w:type="gramEnd"/>
      <w:r w:rsidRPr="00252488">
        <w:rPr>
          <w:rFonts w:ascii="Arial Narrow" w:eastAsiaTheme="minorHAnsi" w:hAnsi="Arial Narrow" w:cs="Times New Roman"/>
          <w:sz w:val="24"/>
          <w:szCs w:val="24"/>
          <w:lang w:eastAsia="en-US"/>
        </w:rPr>
        <w:t xml:space="preserve"> Personal Income Tax Management, </w:t>
      </w:r>
      <w:proofErr w:type="spellStart"/>
      <w:r w:rsidRPr="00252488">
        <w:rPr>
          <w:rFonts w:ascii="Arial Narrow" w:eastAsiaTheme="minorHAnsi" w:hAnsi="Arial Narrow" w:cs="Times New Roman"/>
          <w:sz w:val="24"/>
          <w:szCs w:val="24"/>
          <w:lang w:eastAsia="en-US"/>
        </w:rPr>
        <w:t>Yaba</w:t>
      </w:r>
      <w:proofErr w:type="spellEnd"/>
      <w:r w:rsidRPr="00252488">
        <w:rPr>
          <w:rFonts w:ascii="Arial Narrow" w:eastAsiaTheme="minorHAnsi" w:hAnsi="Arial Narrow" w:cs="Times New Roman"/>
          <w:sz w:val="24"/>
          <w:szCs w:val="24"/>
          <w:lang w:eastAsia="en-US"/>
        </w:rPr>
        <w:t xml:space="preserve"> Lagos, August 15</w:t>
      </w:r>
      <w:r w:rsidRPr="00252488">
        <w:rPr>
          <w:rFonts w:ascii="Arial Narrow" w:eastAsiaTheme="minorHAnsi" w:hAnsi="Arial Narrow" w:cs="Times New Roman"/>
          <w:sz w:val="24"/>
          <w:szCs w:val="24"/>
          <w:vertAlign w:val="superscript"/>
          <w:lang w:eastAsia="en-US"/>
        </w:rPr>
        <w:t>th</w:t>
      </w:r>
    </w:p>
    <w:p w:rsidR="00252488" w:rsidRPr="00252488" w:rsidRDefault="00252488"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
    <w:p w:rsidR="00252488"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roofErr w:type="spellStart"/>
      <w:r w:rsidRPr="00252488">
        <w:rPr>
          <w:rFonts w:ascii="Arial Narrow" w:eastAsiaTheme="minorHAnsi" w:hAnsi="Arial Narrow" w:cs="Times New Roman"/>
          <w:sz w:val="24"/>
          <w:szCs w:val="24"/>
          <w:lang w:eastAsia="en-US"/>
        </w:rPr>
        <w:t>Aguolu</w:t>
      </w:r>
      <w:proofErr w:type="spellEnd"/>
      <w:r w:rsidRPr="00252488">
        <w:rPr>
          <w:rFonts w:ascii="Arial Narrow" w:eastAsiaTheme="minorHAnsi" w:hAnsi="Arial Narrow" w:cs="Times New Roman"/>
          <w:sz w:val="24"/>
          <w:szCs w:val="24"/>
          <w:lang w:eastAsia="en-US"/>
        </w:rPr>
        <w:t xml:space="preserve">, </w:t>
      </w:r>
      <w:proofErr w:type="spellStart"/>
      <w:r w:rsidRPr="00252488">
        <w:rPr>
          <w:rFonts w:ascii="Arial Narrow" w:eastAsiaTheme="minorHAnsi" w:hAnsi="Arial Narrow" w:cs="Times New Roman"/>
          <w:sz w:val="24"/>
          <w:szCs w:val="24"/>
          <w:lang w:eastAsia="en-US"/>
        </w:rPr>
        <w:t>Osita</w:t>
      </w:r>
      <w:proofErr w:type="spellEnd"/>
      <w:r w:rsidRPr="00252488">
        <w:rPr>
          <w:rFonts w:ascii="Arial Narrow" w:eastAsiaTheme="minorHAnsi" w:hAnsi="Arial Narrow" w:cs="Times New Roman"/>
          <w:sz w:val="24"/>
          <w:szCs w:val="24"/>
          <w:lang w:eastAsia="en-US"/>
        </w:rPr>
        <w:t xml:space="preserve"> (1999) </w:t>
      </w:r>
      <w:r w:rsidRPr="00252488">
        <w:rPr>
          <w:rFonts w:ascii="Arial Narrow" w:eastAsiaTheme="minorHAnsi" w:hAnsi="Arial Narrow" w:cs="Times New Roman"/>
          <w:i/>
          <w:iCs/>
          <w:sz w:val="24"/>
          <w:szCs w:val="24"/>
          <w:lang w:eastAsia="en-US"/>
        </w:rPr>
        <w:t xml:space="preserve">Taxation and Tax Management in Nigeria </w:t>
      </w:r>
      <w:r w:rsidR="00252488">
        <w:rPr>
          <w:rFonts w:ascii="Arial Narrow" w:eastAsiaTheme="minorHAnsi" w:hAnsi="Arial Narrow" w:cs="Times New Roman"/>
          <w:sz w:val="24"/>
          <w:szCs w:val="24"/>
          <w:lang w:eastAsia="en-US"/>
        </w:rPr>
        <w:t>Enugu: Meridian Associates.</w:t>
      </w:r>
    </w:p>
    <w:p w:rsidR="00252488" w:rsidRDefault="00252488"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r w:rsidRPr="00252488">
        <w:rPr>
          <w:rFonts w:ascii="Arial Narrow" w:eastAsiaTheme="minorHAnsi" w:hAnsi="Arial Narrow" w:cs="Times New Roman"/>
          <w:sz w:val="24"/>
          <w:szCs w:val="24"/>
          <w:lang w:eastAsia="en-US"/>
        </w:rPr>
        <w:t>Federal Inland Revenue Service (1993) Information Circular No. 93</w:t>
      </w: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roofErr w:type="spellStart"/>
      <w:r w:rsidRPr="00252488">
        <w:rPr>
          <w:rFonts w:ascii="Arial Narrow" w:eastAsiaTheme="minorHAnsi" w:hAnsi="Arial Narrow" w:cs="Times New Roman"/>
          <w:sz w:val="24"/>
          <w:szCs w:val="24"/>
          <w:lang w:eastAsia="en-US"/>
        </w:rPr>
        <w:t>Kiabel</w:t>
      </w:r>
      <w:proofErr w:type="spellEnd"/>
      <w:r w:rsidRPr="00252488">
        <w:rPr>
          <w:rFonts w:ascii="Arial Narrow" w:eastAsiaTheme="minorHAnsi" w:hAnsi="Arial Narrow" w:cs="Times New Roman"/>
          <w:sz w:val="24"/>
          <w:szCs w:val="24"/>
          <w:lang w:eastAsia="en-US"/>
        </w:rPr>
        <w:t xml:space="preserve">, B. D. (2001) </w:t>
      </w:r>
      <w:r w:rsidRPr="00252488">
        <w:rPr>
          <w:rFonts w:ascii="Arial Narrow" w:eastAsiaTheme="minorHAnsi" w:hAnsi="Arial Narrow" w:cs="Times New Roman"/>
          <w:i/>
          <w:iCs/>
          <w:sz w:val="24"/>
          <w:szCs w:val="24"/>
          <w:lang w:eastAsia="en-US"/>
        </w:rPr>
        <w:t xml:space="preserve">Personal Income Tax in Nigeria </w:t>
      </w:r>
      <w:proofErr w:type="spellStart"/>
      <w:r w:rsidRPr="00252488">
        <w:rPr>
          <w:rFonts w:ascii="Arial Narrow" w:eastAsiaTheme="minorHAnsi" w:hAnsi="Arial Narrow" w:cs="Times New Roman"/>
          <w:sz w:val="24"/>
          <w:szCs w:val="24"/>
          <w:lang w:eastAsia="en-US"/>
        </w:rPr>
        <w:t>Owerri</w:t>
      </w:r>
      <w:proofErr w:type="spellEnd"/>
      <w:r w:rsidRPr="00252488">
        <w:rPr>
          <w:rFonts w:ascii="Arial Narrow" w:eastAsiaTheme="minorHAnsi" w:hAnsi="Arial Narrow" w:cs="Times New Roman"/>
          <w:sz w:val="24"/>
          <w:szCs w:val="24"/>
          <w:lang w:eastAsia="en-US"/>
        </w:rPr>
        <w:t>: Springfield Publishers Ltd.</w:t>
      </w:r>
    </w:p>
    <w:p w:rsidR="00252488" w:rsidRDefault="00252488"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roofErr w:type="spellStart"/>
      <w:r w:rsidRPr="00252488">
        <w:rPr>
          <w:rFonts w:ascii="Arial Narrow" w:eastAsiaTheme="minorHAnsi" w:hAnsi="Arial Narrow" w:cs="Times New Roman"/>
          <w:sz w:val="24"/>
          <w:szCs w:val="24"/>
          <w:lang w:eastAsia="en-US"/>
        </w:rPr>
        <w:t>Kiabel</w:t>
      </w:r>
      <w:proofErr w:type="spellEnd"/>
      <w:r w:rsidRPr="00252488">
        <w:rPr>
          <w:rFonts w:ascii="Arial Narrow" w:eastAsiaTheme="minorHAnsi" w:hAnsi="Arial Narrow" w:cs="Times New Roman"/>
          <w:sz w:val="24"/>
          <w:szCs w:val="24"/>
          <w:lang w:eastAsia="en-US"/>
        </w:rPr>
        <w:t xml:space="preserve">, B. D &amp; </w:t>
      </w:r>
      <w:proofErr w:type="spellStart"/>
      <w:r w:rsidRPr="00252488">
        <w:rPr>
          <w:rFonts w:ascii="Arial Narrow" w:eastAsiaTheme="minorHAnsi" w:hAnsi="Arial Narrow" w:cs="Times New Roman"/>
          <w:sz w:val="24"/>
          <w:szCs w:val="24"/>
          <w:lang w:eastAsia="en-US"/>
        </w:rPr>
        <w:t>Ogu</w:t>
      </w:r>
      <w:proofErr w:type="spellEnd"/>
      <w:r w:rsidRPr="00252488">
        <w:rPr>
          <w:rFonts w:ascii="Arial Narrow" w:eastAsiaTheme="minorHAnsi" w:hAnsi="Arial Narrow" w:cs="Times New Roman"/>
          <w:sz w:val="24"/>
          <w:szCs w:val="24"/>
          <w:lang w:eastAsia="en-US"/>
        </w:rPr>
        <w:t>, V. U. (1999) “Tax Administration in Nigeria: The Impact of Using</w:t>
      </w: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r w:rsidRPr="00252488">
        <w:rPr>
          <w:rFonts w:ascii="Arial Narrow" w:eastAsiaTheme="minorHAnsi" w:hAnsi="Arial Narrow" w:cs="Times New Roman"/>
          <w:sz w:val="24"/>
          <w:szCs w:val="24"/>
          <w:lang w:eastAsia="en-US"/>
        </w:rPr>
        <w:t>Revenue Consultants” A paper presented at the Workshop on Revenue Generation in the Oil</w:t>
      </w: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r w:rsidRPr="00252488">
        <w:rPr>
          <w:rFonts w:ascii="Arial Narrow" w:eastAsiaTheme="minorHAnsi" w:hAnsi="Arial Narrow" w:cs="Times New Roman"/>
          <w:sz w:val="24"/>
          <w:szCs w:val="24"/>
          <w:lang w:eastAsia="en-US"/>
        </w:rPr>
        <w:t xml:space="preserve">Producing States of Nigeria </w:t>
      </w:r>
      <w:proofErr w:type="spellStart"/>
      <w:r w:rsidRPr="00252488">
        <w:rPr>
          <w:rFonts w:ascii="Arial Narrow" w:eastAsiaTheme="minorHAnsi" w:hAnsi="Arial Narrow" w:cs="Times New Roman"/>
          <w:sz w:val="24"/>
          <w:szCs w:val="24"/>
          <w:lang w:eastAsia="en-US"/>
        </w:rPr>
        <w:t>Organised</w:t>
      </w:r>
      <w:proofErr w:type="spellEnd"/>
      <w:r w:rsidRPr="00252488">
        <w:rPr>
          <w:rFonts w:ascii="Arial Narrow" w:eastAsiaTheme="minorHAnsi" w:hAnsi="Arial Narrow" w:cs="Times New Roman"/>
          <w:sz w:val="24"/>
          <w:szCs w:val="24"/>
          <w:lang w:eastAsia="en-US"/>
        </w:rPr>
        <w:t xml:space="preserve"> by Global Consults, Port Harcourt.</w:t>
      </w:r>
    </w:p>
    <w:p w:rsidR="00252488" w:rsidRDefault="00252488"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i/>
          <w:iCs/>
          <w:sz w:val="24"/>
          <w:szCs w:val="24"/>
          <w:lang w:eastAsia="en-US"/>
        </w:rPr>
      </w:pPr>
      <w:r w:rsidRPr="00252488">
        <w:rPr>
          <w:rFonts w:ascii="Arial Narrow" w:eastAsiaTheme="minorHAnsi" w:hAnsi="Arial Narrow" w:cs="Times New Roman"/>
          <w:sz w:val="24"/>
          <w:szCs w:val="24"/>
          <w:lang w:eastAsia="en-US"/>
        </w:rPr>
        <w:t xml:space="preserve">Ola, C. S. (1988) “Strategies for Enhanced Tax Revenue in Nigeria” </w:t>
      </w:r>
      <w:r w:rsidRPr="00252488">
        <w:rPr>
          <w:rFonts w:ascii="Arial Narrow" w:eastAsiaTheme="minorHAnsi" w:hAnsi="Arial Narrow" w:cs="Times New Roman"/>
          <w:i/>
          <w:iCs/>
          <w:sz w:val="24"/>
          <w:szCs w:val="24"/>
          <w:lang w:eastAsia="en-US"/>
        </w:rPr>
        <w:t>The Nigerian Accountant</w:t>
      </w: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roofErr w:type="gramStart"/>
      <w:r w:rsidRPr="00252488">
        <w:rPr>
          <w:rFonts w:ascii="Arial Narrow" w:eastAsiaTheme="minorHAnsi" w:hAnsi="Arial Narrow" w:cs="Times New Roman"/>
          <w:sz w:val="24"/>
          <w:szCs w:val="24"/>
          <w:lang w:eastAsia="en-US"/>
        </w:rPr>
        <w:t>July/Sept, 1998.</w:t>
      </w:r>
      <w:proofErr w:type="gramEnd"/>
    </w:p>
    <w:p w:rsidR="00252488" w:rsidRDefault="00252488"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roofErr w:type="spellStart"/>
      <w:r w:rsidRPr="00252488">
        <w:rPr>
          <w:rFonts w:ascii="Arial Narrow" w:eastAsiaTheme="minorHAnsi" w:hAnsi="Arial Narrow" w:cs="Times New Roman"/>
          <w:sz w:val="24"/>
          <w:szCs w:val="24"/>
          <w:lang w:eastAsia="en-US"/>
        </w:rPr>
        <w:t>Okele</w:t>
      </w:r>
      <w:proofErr w:type="spellEnd"/>
      <w:r w:rsidRPr="00252488">
        <w:rPr>
          <w:rFonts w:ascii="Arial Narrow" w:eastAsiaTheme="minorHAnsi" w:hAnsi="Arial Narrow" w:cs="Times New Roman"/>
          <w:sz w:val="24"/>
          <w:szCs w:val="24"/>
          <w:lang w:eastAsia="en-US"/>
        </w:rPr>
        <w:t>, J. B (1997) “Developments in Tax Administration in Nigeria” ICAN MCPE</w:t>
      </w:r>
    </w:p>
    <w:p w:rsidR="00FA13BA" w:rsidRPr="00252488" w:rsidRDefault="00FA13BA" w:rsidP="00252488">
      <w:pPr>
        <w:suppressAutoHyphens w:val="0"/>
        <w:autoSpaceDE w:val="0"/>
        <w:autoSpaceDN w:val="0"/>
        <w:adjustRightInd w:val="0"/>
        <w:spacing w:after="0" w:line="240" w:lineRule="auto"/>
        <w:jc w:val="both"/>
        <w:rPr>
          <w:rFonts w:ascii="Arial Narrow" w:eastAsiaTheme="minorHAnsi" w:hAnsi="Arial Narrow" w:cs="Times New Roman"/>
          <w:sz w:val="24"/>
          <w:szCs w:val="24"/>
          <w:lang w:eastAsia="en-US"/>
        </w:rPr>
      </w:pPr>
      <w:proofErr w:type="gramStart"/>
      <w:r w:rsidRPr="00252488">
        <w:rPr>
          <w:rFonts w:ascii="Arial Narrow" w:eastAsiaTheme="minorHAnsi" w:hAnsi="Arial Narrow" w:cs="Times New Roman"/>
          <w:sz w:val="24"/>
          <w:szCs w:val="24"/>
          <w:lang w:eastAsia="en-US"/>
        </w:rPr>
        <w:t>January/June.</w:t>
      </w:r>
      <w:proofErr w:type="gramEnd"/>
    </w:p>
    <w:p w:rsidR="00FA13BA" w:rsidRDefault="00FA13BA" w:rsidP="00C17F99">
      <w:pPr>
        <w:suppressAutoHyphens w:val="0"/>
        <w:spacing w:line="240" w:lineRule="auto"/>
        <w:jc w:val="both"/>
        <w:rPr>
          <w:rFonts w:ascii="Arial Narrow" w:hAnsi="Arial Narrow" w:cs="Arial"/>
          <w:b/>
          <w:sz w:val="24"/>
          <w:szCs w:val="24"/>
        </w:rPr>
      </w:pPr>
    </w:p>
    <w:p w:rsidR="00BF5F93" w:rsidRPr="00D53434" w:rsidRDefault="00C17F99" w:rsidP="00C17F99">
      <w:pPr>
        <w:suppressAutoHyphens w:val="0"/>
        <w:spacing w:line="240" w:lineRule="auto"/>
        <w:jc w:val="both"/>
        <w:rPr>
          <w:rFonts w:ascii="Arial Narrow" w:hAnsi="Arial Narrow"/>
        </w:rPr>
      </w:pPr>
      <w:r w:rsidRPr="00C17F99">
        <w:rPr>
          <w:rFonts w:ascii="Arial Narrow" w:hAnsi="Arial Narrow" w:cs="Arial"/>
          <w:b/>
          <w:sz w:val="24"/>
          <w:szCs w:val="24"/>
        </w:rPr>
        <w:t>APPENDIX</w:t>
      </w:r>
    </w:p>
    <w:sectPr w:rsidR="00BF5F93" w:rsidRPr="00D53434" w:rsidSect="00E265E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7B" w:rsidRDefault="00067B7B" w:rsidP="0048311E">
      <w:pPr>
        <w:spacing w:after="0" w:line="240" w:lineRule="auto"/>
      </w:pPr>
      <w:r>
        <w:separator/>
      </w:r>
    </w:p>
  </w:endnote>
  <w:endnote w:type="continuationSeparator" w:id="1">
    <w:p w:rsidR="00067B7B" w:rsidRDefault="00067B7B" w:rsidP="00483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altName w:val="Times New Roman"/>
    <w:panose1 w:val="02010000000000000000"/>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7B" w:rsidRDefault="00067B7B" w:rsidP="0048311E">
      <w:pPr>
        <w:spacing w:after="0" w:line="240" w:lineRule="auto"/>
      </w:pPr>
      <w:r>
        <w:separator/>
      </w:r>
    </w:p>
  </w:footnote>
  <w:footnote w:type="continuationSeparator" w:id="1">
    <w:p w:rsidR="00067B7B" w:rsidRDefault="00067B7B" w:rsidP="00483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2844"/>
      <w:docPartObj>
        <w:docPartGallery w:val="Page Numbers (Top of Page)"/>
        <w:docPartUnique/>
      </w:docPartObj>
    </w:sdtPr>
    <w:sdtContent>
      <w:p w:rsidR="00D773CE" w:rsidRDefault="00D80A2A">
        <w:pPr>
          <w:pStyle w:val="Header"/>
          <w:jc w:val="center"/>
        </w:pPr>
        <w:fldSimple w:instr=" PAGE   \* MERGEFORMAT ">
          <w:r w:rsidR="00710003">
            <w:rPr>
              <w:noProof/>
            </w:rPr>
            <w:t>11</w:t>
          </w:r>
        </w:fldSimple>
      </w:p>
    </w:sdtContent>
  </w:sdt>
  <w:p w:rsidR="00D773CE" w:rsidRDefault="00D77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lowerLetter"/>
      <w:lvlText w:val="%1."/>
      <w:lvlJc w:val="left"/>
      <w:pPr>
        <w:tabs>
          <w:tab w:val="num" w:pos="0"/>
        </w:tabs>
        <w:ind w:left="720" w:hanging="360"/>
      </w:pPr>
    </w:lvl>
  </w:abstractNum>
  <w:abstractNum w:abstractNumId="1">
    <w:nsid w:val="00000003"/>
    <w:multiLevelType w:val="singleLevel"/>
    <w:tmpl w:val="00000003"/>
    <w:name w:val="WW8Num10"/>
    <w:lvl w:ilvl="0">
      <w:start w:val="1"/>
      <w:numFmt w:val="lowerLetter"/>
      <w:lvlText w:val="%1)"/>
      <w:lvlJc w:val="left"/>
      <w:pPr>
        <w:tabs>
          <w:tab w:val="num" w:pos="0"/>
        </w:tabs>
        <w:ind w:left="1440" w:hanging="360"/>
      </w:pPr>
    </w:lvl>
  </w:abstractNum>
  <w:abstractNum w:abstractNumId="2">
    <w:nsid w:val="183903C0"/>
    <w:multiLevelType w:val="hybridMultilevel"/>
    <w:tmpl w:val="04F225CE"/>
    <w:lvl w:ilvl="0" w:tplc="9FD42886">
      <w:start w:val="39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8505B"/>
    <w:multiLevelType w:val="hybridMultilevel"/>
    <w:tmpl w:val="161EF772"/>
    <w:lvl w:ilvl="0" w:tplc="D42C443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F74FA"/>
    <w:multiLevelType w:val="hybridMultilevel"/>
    <w:tmpl w:val="EC0285CA"/>
    <w:lvl w:ilvl="0" w:tplc="D42C443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46D8C"/>
    <w:multiLevelType w:val="hybridMultilevel"/>
    <w:tmpl w:val="E63AFD26"/>
    <w:lvl w:ilvl="0" w:tplc="5B18087A">
      <w:start w:val="1"/>
      <w:numFmt w:val="bullet"/>
      <w:lvlText w:val="•"/>
      <w:lvlJc w:val="left"/>
      <w:pPr>
        <w:tabs>
          <w:tab w:val="num" w:pos="720"/>
        </w:tabs>
        <w:ind w:left="720" w:hanging="360"/>
      </w:pPr>
      <w:rPr>
        <w:rFonts w:ascii="Times New Roman" w:hAnsi="Times New Roman" w:hint="default"/>
      </w:rPr>
    </w:lvl>
    <w:lvl w:ilvl="1" w:tplc="9FD42886">
      <w:start w:val="391"/>
      <w:numFmt w:val="bullet"/>
      <w:lvlText w:val="–"/>
      <w:lvlJc w:val="left"/>
      <w:pPr>
        <w:tabs>
          <w:tab w:val="num" w:pos="1440"/>
        </w:tabs>
        <w:ind w:left="1440" w:hanging="360"/>
      </w:pPr>
      <w:rPr>
        <w:rFonts w:ascii="Times New Roman" w:hAnsi="Times New Roman" w:hint="default"/>
      </w:rPr>
    </w:lvl>
    <w:lvl w:ilvl="2" w:tplc="E4784B68">
      <w:start w:val="391"/>
      <w:numFmt w:val="bullet"/>
      <w:lvlText w:val="•"/>
      <w:lvlJc w:val="left"/>
      <w:pPr>
        <w:tabs>
          <w:tab w:val="num" w:pos="2160"/>
        </w:tabs>
        <w:ind w:left="2160" w:hanging="360"/>
      </w:pPr>
      <w:rPr>
        <w:rFonts w:ascii="Times New Roman" w:hAnsi="Times New Roman" w:hint="default"/>
      </w:rPr>
    </w:lvl>
    <w:lvl w:ilvl="3" w:tplc="45AAF934">
      <w:start w:val="391"/>
      <w:numFmt w:val="bullet"/>
      <w:lvlText w:val="–"/>
      <w:lvlJc w:val="left"/>
      <w:pPr>
        <w:tabs>
          <w:tab w:val="num" w:pos="2880"/>
        </w:tabs>
        <w:ind w:left="2880" w:hanging="360"/>
      </w:pPr>
      <w:rPr>
        <w:rFonts w:ascii="Times New Roman" w:hAnsi="Times New Roman" w:hint="default"/>
      </w:rPr>
    </w:lvl>
    <w:lvl w:ilvl="4" w:tplc="0C162984" w:tentative="1">
      <w:start w:val="1"/>
      <w:numFmt w:val="bullet"/>
      <w:lvlText w:val="•"/>
      <w:lvlJc w:val="left"/>
      <w:pPr>
        <w:tabs>
          <w:tab w:val="num" w:pos="3600"/>
        </w:tabs>
        <w:ind w:left="3600" w:hanging="360"/>
      </w:pPr>
      <w:rPr>
        <w:rFonts w:ascii="Times New Roman" w:hAnsi="Times New Roman" w:hint="default"/>
      </w:rPr>
    </w:lvl>
    <w:lvl w:ilvl="5" w:tplc="23D63076" w:tentative="1">
      <w:start w:val="1"/>
      <w:numFmt w:val="bullet"/>
      <w:lvlText w:val="•"/>
      <w:lvlJc w:val="left"/>
      <w:pPr>
        <w:tabs>
          <w:tab w:val="num" w:pos="4320"/>
        </w:tabs>
        <w:ind w:left="4320" w:hanging="360"/>
      </w:pPr>
      <w:rPr>
        <w:rFonts w:ascii="Times New Roman" w:hAnsi="Times New Roman" w:hint="default"/>
      </w:rPr>
    </w:lvl>
    <w:lvl w:ilvl="6" w:tplc="7512BD98" w:tentative="1">
      <w:start w:val="1"/>
      <w:numFmt w:val="bullet"/>
      <w:lvlText w:val="•"/>
      <w:lvlJc w:val="left"/>
      <w:pPr>
        <w:tabs>
          <w:tab w:val="num" w:pos="5040"/>
        </w:tabs>
        <w:ind w:left="5040" w:hanging="360"/>
      </w:pPr>
      <w:rPr>
        <w:rFonts w:ascii="Times New Roman" w:hAnsi="Times New Roman" w:hint="default"/>
      </w:rPr>
    </w:lvl>
    <w:lvl w:ilvl="7" w:tplc="050621F8" w:tentative="1">
      <w:start w:val="1"/>
      <w:numFmt w:val="bullet"/>
      <w:lvlText w:val="•"/>
      <w:lvlJc w:val="left"/>
      <w:pPr>
        <w:tabs>
          <w:tab w:val="num" w:pos="5760"/>
        </w:tabs>
        <w:ind w:left="5760" w:hanging="360"/>
      </w:pPr>
      <w:rPr>
        <w:rFonts w:ascii="Times New Roman" w:hAnsi="Times New Roman" w:hint="default"/>
      </w:rPr>
    </w:lvl>
    <w:lvl w:ilvl="8" w:tplc="733E6E5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4A7D53"/>
    <w:multiLevelType w:val="hybridMultilevel"/>
    <w:tmpl w:val="4DF40F94"/>
    <w:lvl w:ilvl="0" w:tplc="168C40EC">
      <w:start w:val="1"/>
      <w:numFmt w:val="bullet"/>
      <w:lvlText w:val=""/>
      <w:lvlJc w:val="left"/>
      <w:pPr>
        <w:tabs>
          <w:tab w:val="num" w:pos="720"/>
        </w:tabs>
        <w:ind w:left="720" w:hanging="360"/>
      </w:pPr>
      <w:rPr>
        <w:rFonts w:ascii="Symbol" w:hAnsi="Symbol" w:hint="default"/>
      </w:rPr>
    </w:lvl>
    <w:lvl w:ilvl="1" w:tplc="336AF7CA" w:tentative="1">
      <w:start w:val="1"/>
      <w:numFmt w:val="bullet"/>
      <w:lvlText w:val=""/>
      <w:lvlJc w:val="left"/>
      <w:pPr>
        <w:tabs>
          <w:tab w:val="num" w:pos="1440"/>
        </w:tabs>
        <w:ind w:left="1440" w:hanging="360"/>
      </w:pPr>
      <w:rPr>
        <w:rFonts w:ascii="Symbol" w:hAnsi="Symbol" w:hint="default"/>
      </w:rPr>
    </w:lvl>
    <w:lvl w:ilvl="2" w:tplc="90D0ECDC" w:tentative="1">
      <w:start w:val="1"/>
      <w:numFmt w:val="bullet"/>
      <w:lvlText w:val=""/>
      <w:lvlJc w:val="left"/>
      <w:pPr>
        <w:tabs>
          <w:tab w:val="num" w:pos="2160"/>
        </w:tabs>
        <w:ind w:left="2160" w:hanging="360"/>
      </w:pPr>
      <w:rPr>
        <w:rFonts w:ascii="Symbol" w:hAnsi="Symbol" w:hint="default"/>
      </w:rPr>
    </w:lvl>
    <w:lvl w:ilvl="3" w:tplc="592C82AA" w:tentative="1">
      <w:start w:val="1"/>
      <w:numFmt w:val="bullet"/>
      <w:lvlText w:val=""/>
      <w:lvlJc w:val="left"/>
      <w:pPr>
        <w:tabs>
          <w:tab w:val="num" w:pos="2880"/>
        </w:tabs>
        <w:ind w:left="2880" w:hanging="360"/>
      </w:pPr>
      <w:rPr>
        <w:rFonts w:ascii="Symbol" w:hAnsi="Symbol" w:hint="default"/>
      </w:rPr>
    </w:lvl>
    <w:lvl w:ilvl="4" w:tplc="51A6CC62" w:tentative="1">
      <w:start w:val="1"/>
      <w:numFmt w:val="bullet"/>
      <w:lvlText w:val=""/>
      <w:lvlJc w:val="left"/>
      <w:pPr>
        <w:tabs>
          <w:tab w:val="num" w:pos="3600"/>
        </w:tabs>
        <w:ind w:left="3600" w:hanging="360"/>
      </w:pPr>
      <w:rPr>
        <w:rFonts w:ascii="Symbol" w:hAnsi="Symbol" w:hint="default"/>
      </w:rPr>
    </w:lvl>
    <w:lvl w:ilvl="5" w:tplc="6178C9B2" w:tentative="1">
      <w:start w:val="1"/>
      <w:numFmt w:val="bullet"/>
      <w:lvlText w:val=""/>
      <w:lvlJc w:val="left"/>
      <w:pPr>
        <w:tabs>
          <w:tab w:val="num" w:pos="4320"/>
        </w:tabs>
        <w:ind w:left="4320" w:hanging="360"/>
      </w:pPr>
      <w:rPr>
        <w:rFonts w:ascii="Symbol" w:hAnsi="Symbol" w:hint="default"/>
      </w:rPr>
    </w:lvl>
    <w:lvl w:ilvl="6" w:tplc="43104C54" w:tentative="1">
      <w:start w:val="1"/>
      <w:numFmt w:val="bullet"/>
      <w:lvlText w:val=""/>
      <w:lvlJc w:val="left"/>
      <w:pPr>
        <w:tabs>
          <w:tab w:val="num" w:pos="5040"/>
        </w:tabs>
        <w:ind w:left="5040" w:hanging="360"/>
      </w:pPr>
      <w:rPr>
        <w:rFonts w:ascii="Symbol" w:hAnsi="Symbol" w:hint="default"/>
      </w:rPr>
    </w:lvl>
    <w:lvl w:ilvl="7" w:tplc="C8225256" w:tentative="1">
      <w:start w:val="1"/>
      <w:numFmt w:val="bullet"/>
      <w:lvlText w:val=""/>
      <w:lvlJc w:val="left"/>
      <w:pPr>
        <w:tabs>
          <w:tab w:val="num" w:pos="5760"/>
        </w:tabs>
        <w:ind w:left="5760" w:hanging="360"/>
      </w:pPr>
      <w:rPr>
        <w:rFonts w:ascii="Symbol" w:hAnsi="Symbol" w:hint="default"/>
      </w:rPr>
    </w:lvl>
    <w:lvl w:ilvl="8" w:tplc="288C0F46" w:tentative="1">
      <w:start w:val="1"/>
      <w:numFmt w:val="bullet"/>
      <w:lvlText w:val=""/>
      <w:lvlJc w:val="left"/>
      <w:pPr>
        <w:tabs>
          <w:tab w:val="num" w:pos="6480"/>
        </w:tabs>
        <w:ind w:left="6480" w:hanging="360"/>
      </w:pPr>
      <w:rPr>
        <w:rFonts w:ascii="Symbol" w:hAnsi="Symbol" w:hint="default"/>
      </w:rPr>
    </w:lvl>
  </w:abstractNum>
  <w:abstractNum w:abstractNumId="7">
    <w:nsid w:val="3E28521F"/>
    <w:multiLevelType w:val="hybridMultilevel"/>
    <w:tmpl w:val="907436DC"/>
    <w:lvl w:ilvl="0" w:tplc="1DFE187C">
      <w:start w:val="1"/>
      <w:numFmt w:val="bullet"/>
      <w:lvlText w:val="•"/>
      <w:lvlJc w:val="left"/>
      <w:pPr>
        <w:tabs>
          <w:tab w:val="num" w:pos="720"/>
        </w:tabs>
        <w:ind w:left="720" w:hanging="360"/>
      </w:pPr>
      <w:rPr>
        <w:rFonts w:ascii="Times New Roman" w:hAnsi="Times New Roman" w:hint="default"/>
      </w:rPr>
    </w:lvl>
    <w:lvl w:ilvl="1" w:tplc="C276A7CC" w:tentative="1">
      <w:start w:val="1"/>
      <w:numFmt w:val="bullet"/>
      <w:lvlText w:val="•"/>
      <w:lvlJc w:val="left"/>
      <w:pPr>
        <w:tabs>
          <w:tab w:val="num" w:pos="1440"/>
        </w:tabs>
        <w:ind w:left="1440" w:hanging="360"/>
      </w:pPr>
      <w:rPr>
        <w:rFonts w:ascii="Times New Roman" w:hAnsi="Times New Roman" w:hint="default"/>
      </w:rPr>
    </w:lvl>
    <w:lvl w:ilvl="2" w:tplc="D3C0F64C" w:tentative="1">
      <w:start w:val="1"/>
      <w:numFmt w:val="bullet"/>
      <w:lvlText w:val="•"/>
      <w:lvlJc w:val="left"/>
      <w:pPr>
        <w:tabs>
          <w:tab w:val="num" w:pos="2160"/>
        </w:tabs>
        <w:ind w:left="2160" w:hanging="360"/>
      </w:pPr>
      <w:rPr>
        <w:rFonts w:ascii="Times New Roman" w:hAnsi="Times New Roman" w:hint="default"/>
      </w:rPr>
    </w:lvl>
    <w:lvl w:ilvl="3" w:tplc="4CFCB936" w:tentative="1">
      <w:start w:val="1"/>
      <w:numFmt w:val="bullet"/>
      <w:lvlText w:val="•"/>
      <w:lvlJc w:val="left"/>
      <w:pPr>
        <w:tabs>
          <w:tab w:val="num" w:pos="2880"/>
        </w:tabs>
        <w:ind w:left="2880" w:hanging="360"/>
      </w:pPr>
      <w:rPr>
        <w:rFonts w:ascii="Times New Roman" w:hAnsi="Times New Roman" w:hint="default"/>
      </w:rPr>
    </w:lvl>
    <w:lvl w:ilvl="4" w:tplc="C1F2F3D2" w:tentative="1">
      <w:start w:val="1"/>
      <w:numFmt w:val="bullet"/>
      <w:lvlText w:val="•"/>
      <w:lvlJc w:val="left"/>
      <w:pPr>
        <w:tabs>
          <w:tab w:val="num" w:pos="3600"/>
        </w:tabs>
        <w:ind w:left="3600" w:hanging="360"/>
      </w:pPr>
      <w:rPr>
        <w:rFonts w:ascii="Times New Roman" w:hAnsi="Times New Roman" w:hint="default"/>
      </w:rPr>
    </w:lvl>
    <w:lvl w:ilvl="5" w:tplc="625491DE" w:tentative="1">
      <w:start w:val="1"/>
      <w:numFmt w:val="bullet"/>
      <w:lvlText w:val="•"/>
      <w:lvlJc w:val="left"/>
      <w:pPr>
        <w:tabs>
          <w:tab w:val="num" w:pos="4320"/>
        </w:tabs>
        <w:ind w:left="4320" w:hanging="360"/>
      </w:pPr>
      <w:rPr>
        <w:rFonts w:ascii="Times New Roman" w:hAnsi="Times New Roman" w:hint="default"/>
      </w:rPr>
    </w:lvl>
    <w:lvl w:ilvl="6" w:tplc="99CEF1D0" w:tentative="1">
      <w:start w:val="1"/>
      <w:numFmt w:val="bullet"/>
      <w:lvlText w:val="•"/>
      <w:lvlJc w:val="left"/>
      <w:pPr>
        <w:tabs>
          <w:tab w:val="num" w:pos="5040"/>
        </w:tabs>
        <w:ind w:left="5040" w:hanging="360"/>
      </w:pPr>
      <w:rPr>
        <w:rFonts w:ascii="Times New Roman" w:hAnsi="Times New Roman" w:hint="default"/>
      </w:rPr>
    </w:lvl>
    <w:lvl w:ilvl="7" w:tplc="79ECDB2A" w:tentative="1">
      <w:start w:val="1"/>
      <w:numFmt w:val="bullet"/>
      <w:lvlText w:val="•"/>
      <w:lvlJc w:val="left"/>
      <w:pPr>
        <w:tabs>
          <w:tab w:val="num" w:pos="5760"/>
        </w:tabs>
        <w:ind w:left="5760" w:hanging="360"/>
      </w:pPr>
      <w:rPr>
        <w:rFonts w:ascii="Times New Roman" w:hAnsi="Times New Roman" w:hint="default"/>
      </w:rPr>
    </w:lvl>
    <w:lvl w:ilvl="8" w:tplc="71BA8C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1C57AB"/>
    <w:multiLevelType w:val="multilevel"/>
    <w:tmpl w:val="2A5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C52B1"/>
    <w:multiLevelType w:val="hybridMultilevel"/>
    <w:tmpl w:val="532C4CAE"/>
    <w:lvl w:ilvl="0" w:tplc="42228EAA">
      <w:start w:val="1"/>
      <w:numFmt w:val="bullet"/>
      <w:lvlText w:val=""/>
      <w:lvlJc w:val="left"/>
      <w:pPr>
        <w:tabs>
          <w:tab w:val="num" w:pos="720"/>
        </w:tabs>
        <w:ind w:left="720" w:hanging="360"/>
      </w:pPr>
      <w:rPr>
        <w:rFonts w:ascii="Symbol" w:hAnsi="Symbol" w:hint="default"/>
      </w:rPr>
    </w:lvl>
    <w:lvl w:ilvl="1" w:tplc="AE0A2538" w:tentative="1">
      <w:start w:val="1"/>
      <w:numFmt w:val="bullet"/>
      <w:lvlText w:val=""/>
      <w:lvlJc w:val="left"/>
      <w:pPr>
        <w:tabs>
          <w:tab w:val="num" w:pos="1440"/>
        </w:tabs>
        <w:ind w:left="1440" w:hanging="360"/>
      </w:pPr>
      <w:rPr>
        <w:rFonts w:ascii="Symbol" w:hAnsi="Symbol" w:hint="default"/>
      </w:rPr>
    </w:lvl>
    <w:lvl w:ilvl="2" w:tplc="48987AC2" w:tentative="1">
      <w:start w:val="1"/>
      <w:numFmt w:val="bullet"/>
      <w:lvlText w:val=""/>
      <w:lvlJc w:val="left"/>
      <w:pPr>
        <w:tabs>
          <w:tab w:val="num" w:pos="2160"/>
        </w:tabs>
        <w:ind w:left="2160" w:hanging="360"/>
      </w:pPr>
      <w:rPr>
        <w:rFonts w:ascii="Symbol" w:hAnsi="Symbol" w:hint="default"/>
      </w:rPr>
    </w:lvl>
    <w:lvl w:ilvl="3" w:tplc="D050300A" w:tentative="1">
      <w:start w:val="1"/>
      <w:numFmt w:val="bullet"/>
      <w:lvlText w:val=""/>
      <w:lvlJc w:val="left"/>
      <w:pPr>
        <w:tabs>
          <w:tab w:val="num" w:pos="2880"/>
        </w:tabs>
        <w:ind w:left="2880" w:hanging="360"/>
      </w:pPr>
      <w:rPr>
        <w:rFonts w:ascii="Symbol" w:hAnsi="Symbol" w:hint="default"/>
      </w:rPr>
    </w:lvl>
    <w:lvl w:ilvl="4" w:tplc="6A3AAA7A" w:tentative="1">
      <w:start w:val="1"/>
      <w:numFmt w:val="bullet"/>
      <w:lvlText w:val=""/>
      <w:lvlJc w:val="left"/>
      <w:pPr>
        <w:tabs>
          <w:tab w:val="num" w:pos="3600"/>
        </w:tabs>
        <w:ind w:left="3600" w:hanging="360"/>
      </w:pPr>
      <w:rPr>
        <w:rFonts w:ascii="Symbol" w:hAnsi="Symbol" w:hint="default"/>
      </w:rPr>
    </w:lvl>
    <w:lvl w:ilvl="5" w:tplc="9DD8E3DE" w:tentative="1">
      <w:start w:val="1"/>
      <w:numFmt w:val="bullet"/>
      <w:lvlText w:val=""/>
      <w:lvlJc w:val="left"/>
      <w:pPr>
        <w:tabs>
          <w:tab w:val="num" w:pos="4320"/>
        </w:tabs>
        <w:ind w:left="4320" w:hanging="360"/>
      </w:pPr>
      <w:rPr>
        <w:rFonts w:ascii="Symbol" w:hAnsi="Symbol" w:hint="default"/>
      </w:rPr>
    </w:lvl>
    <w:lvl w:ilvl="6" w:tplc="4E26799E" w:tentative="1">
      <w:start w:val="1"/>
      <w:numFmt w:val="bullet"/>
      <w:lvlText w:val=""/>
      <w:lvlJc w:val="left"/>
      <w:pPr>
        <w:tabs>
          <w:tab w:val="num" w:pos="5040"/>
        </w:tabs>
        <w:ind w:left="5040" w:hanging="360"/>
      </w:pPr>
      <w:rPr>
        <w:rFonts w:ascii="Symbol" w:hAnsi="Symbol" w:hint="default"/>
      </w:rPr>
    </w:lvl>
    <w:lvl w:ilvl="7" w:tplc="3C120852" w:tentative="1">
      <w:start w:val="1"/>
      <w:numFmt w:val="bullet"/>
      <w:lvlText w:val=""/>
      <w:lvlJc w:val="left"/>
      <w:pPr>
        <w:tabs>
          <w:tab w:val="num" w:pos="5760"/>
        </w:tabs>
        <w:ind w:left="5760" w:hanging="360"/>
      </w:pPr>
      <w:rPr>
        <w:rFonts w:ascii="Symbol" w:hAnsi="Symbol" w:hint="default"/>
      </w:rPr>
    </w:lvl>
    <w:lvl w:ilvl="8" w:tplc="6B5AC396" w:tentative="1">
      <w:start w:val="1"/>
      <w:numFmt w:val="bullet"/>
      <w:lvlText w:val=""/>
      <w:lvlJc w:val="left"/>
      <w:pPr>
        <w:tabs>
          <w:tab w:val="num" w:pos="6480"/>
        </w:tabs>
        <w:ind w:left="6480" w:hanging="360"/>
      </w:pPr>
      <w:rPr>
        <w:rFonts w:ascii="Symbol" w:hAnsi="Symbol" w:hint="default"/>
      </w:rPr>
    </w:lvl>
  </w:abstractNum>
  <w:abstractNum w:abstractNumId="10">
    <w:nsid w:val="59C35839"/>
    <w:multiLevelType w:val="hybridMultilevel"/>
    <w:tmpl w:val="7B225752"/>
    <w:lvl w:ilvl="0" w:tplc="5922DA30">
      <w:start w:val="1"/>
      <w:numFmt w:val="bullet"/>
      <w:lvlText w:val="•"/>
      <w:lvlJc w:val="left"/>
      <w:pPr>
        <w:tabs>
          <w:tab w:val="num" w:pos="720"/>
        </w:tabs>
        <w:ind w:left="720" w:hanging="360"/>
      </w:pPr>
      <w:rPr>
        <w:rFonts w:ascii="Times New Roman" w:hAnsi="Times New Roman" w:hint="default"/>
      </w:rPr>
    </w:lvl>
    <w:lvl w:ilvl="1" w:tplc="EFFA03E2">
      <w:start w:val="998"/>
      <w:numFmt w:val="bullet"/>
      <w:lvlText w:val="–"/>
      <w:lvlJc w:val="left"/>
      <w:pPr>
        <w:tabs>
          <w:tab w:val="num" w:pos="1440"/>
        </w:tabs>
        <w:ind w:left="1440" w:hanging="360"/>
      </w:pPr>
      <w:rPr>
        <w:rFonts w:ascii="Times New Roman" w:hAnsi="Times New Roman" w:hint="default"/>
      </w:rPr>
    </w:lvl>
    <w:lvl w:ilvl="2" w:tplc="63645490" w:tentative="1">
      <w:start w:val="1"/>
      <w:numFmt w:val="bullet"/>
      <w:lvlText w:val="•"/>
      <w:lvlJc w:val="left"/>
      <w:pPr>
        <w:tabs>
          <w:tab w:val="num" w:pos="2160"/>
        </w:tabs>
        <w:ind w:left="2160" w:hanging="360"/>
      </w:pPr>
      <w:rPr>
        <w:rFonts w:ascii="Times New Roman" w:hAnsi="Times New Roman" w:hint="default"/>
      </w:rPr>
    </w:lvl>
    <w:lvl w:ilvl="3" w:tplc="8A92995C" w:tentative="1">
      <w:start w:val="1"/>
      <w:numFmt w:val="bullet"/>
      <w:lvlText w:val="•"/>
      <w:lvlJc w:val="left"/>
      <w:pPr>
        <w:tabs>
          <w:tab w:val="num" w:pos="2880"/>
        </w:tabs>
        <w:ind w:left="2880" w:hanging="360"/>
      </w:pPr>
      <w:rPr>
        <w:rFonts w:ascii="Times New Roman" w:hAnsi="Times New Roman" w:hint="default"/>
      </w:rPr>
    </w:lvl>
    <w:lvl w:ilvl="4" w:tplc="ED765E26" w:tentative="1">
      <w:start w:val="1"/>
      <w:numFmt w:val="bullet"/>
      <w:lvlText w:val="•"/>
      <w:lvlJc w:val="left"/>
      <w:pPr>
        <w:tabs>
          <w:tab w:val="num" w:pos="3600"/>
        </w:tabs>
        <w:ind w:left="3600" w:hanging="360"/>
      </w:pPr>
      <w:rPr>
        <w:rFonts w:ascii="Times New Roman" w:hAnsi="Times New Roman" w:hint="default"/>
      </w:rPr>
    </w:lvl>
    <w:lvl w:ilvl="5" w:tplc="74F8E92C" w:tentative="1">
      <w:start w:val="1"/>
      <w:numFmt w:val="bullet"/>
      <w:lvlText w:val="•"/>
      <w:lvlJc w:val="left"/>
      <w:pPr>
        <w:tabs>
          <w:tab w:val="num" w:pos="4320"/>
        </w:tabs>
        <w:ind w:left="4320" w:hanging="360"/>
      </w:pPr>
      <w:rPr>
        <w:rFonts w:ascii="Times New Roman" w:hAnsi="Times New Roman" w:hint="default"/>
      </w:rPr>
    </w:lvl>
    <w:lvl w:ilvl="6" w:tplc="D3D2E12E" w:tentative="1">
      <w:start w:val="1"/>
      <w:numFmt w:val="bullet"/>
      <w:lvlText w:val="•"/>
      <w:lvlJc w:val="left"/>
      <w:pPr>
        <w:tabs>
          <w:tab w:val="num" w:pos="5040"/>
        </w:tabs>
        <w:ind w:left="5040" w:hanging="360"/>
      </w:pPr>
      <w:rPr>
        <w:rFonts w:ascii="Times New Roman" w:hAnsi="Times New Roman" w:hint="default"/>
      </w:rPr>
    </w:lvl>
    <w:lvl w:ilvl="7" w:tplc="33721138" w:tentative="1">
      <w:start w:val="1"/>
      <w:numFmt w:val="bullet"/>
      <w:lvlText w:val="•"/>
      <w:lvlJc w:val="left"/>
      <w:pPr>
        <w:tabs>
          <w:tab w:val="num" w:pos="5760"/>
        </w:tabs>
        <w:ind w:left="5760" w:hanging="360"/>
      </w:pPr>
      <w:rPr>
        <w:rFonts w:ascii="Times New Roman" w:hAnsi="Times New Roman" w:hint="default"/>
      </w:rPr>
    </w:lvl>
    <w:lvl w:ilvl="8" w:tplc="D152E3F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DC4D93"/>
    <w:multiLevelType w:val="hybridMultilevel"/>
    <w:tmpl w:val="87C2957E"/>
    <w:lvl w:ilvl="0" w:tplc="D42C443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A490B"/>
    <w:multiLevelType w:val="hybridMultilevel"/>
    <w:tmpl w:val="E73EBA78"/>
    <w:lvl w:ilvl="0" w:tplc="38D46506">
      <w:start w:val="1"/>
      <w:numFmt w:val="bullet"/>
      <w:lvlText w:val="•"/>
      <w:lvlJc w:val="left"/>
      <w:pPr>
        <w:tabs>
          <w:tab w:val="num" w:pos="720"/>
        </w:tabs>
        <w:ind w:left="720" w:hanging="360"/>
      </w:pPr>
      <w:rPr>
        <w:rFonts w:ascii="Times New Roman" w:hAnsi="Times New Roman" w:hint="default"/>
      </w:rPr>
    </w:lvl>
    <w:lvl w:ilvl="1" w:tplc="0F6E39AA">
      <w:start w:val="391"/>
      <w:numFmt w:val="bullet"/>
      <w:lvlText w:val="–"/>
      <w:lvlJc w:val="left"/>
      <w:pPr>
        <w:tabs>
          <w:tab w:val="num" w:pos="1440"/>
        </w:tabs>
        <w:ind w:left="1440" w:hanging="360"/>
      </w:pPr>
      <w:rPr>
        <w:rFonts w:ascii="Times New Roman" w:hAnsi="Times New Roman" w:hint="default"/>
      </w:rPr>
    </w:lvl>
    <w:lvl w:ilvl="2" w:tplc="835031F8" w:tentative="1">
      <w:start w:val="1"/>
      <w:numFmt w:val="bullet"/>
      <w:lvlText w:val="•"/>
      <w:lvlJc w:val="left"/>
      <w:pPr>
        <w:tabs>
          <w:tab w:val="num" w:pos="2160"/>
        </w:tabs>
        <w:ind w:left="2160" w:hanging="360"/>
      </w:pPr>
      <w:rPr>
        <w:rFonts w:ascii="Times New Roman" w:hAnsi="Times New Roman" w:hint="default"/>
      </w:rPr>
    </w:lvl>
    <w:lvl w:ilvl="3" w:tplc="47E445D2" w:tentative="1">
      <w:start w:val="1"/>
      <w:numFmt w:val="bullet"/>
      <w:lvlText w:val="•"/>
      <w:lvlJc w:val="left"/>
      <w:pPr>
        <w:tabs>
          <w:tab w:val="num" w:pos="2880"/>
        </w:tabs>
        <w:ind w:left="2880" w:hanging="360"/>
      </w:pPr>
      <w:rPr>
        <w:rFonts w:ascii="Times New Roman" w:hAnsi="Times New Roman" w:hint="default"/>
      </w:rPr>
    </w:lvl>
    <w:lvl w:ilvl="4" w:tplc="1048E11A" w:tentative="1">
      <w:start w:val="1"/>
      <w:numFmt w:val="bullet"/>
      <w:lvlText w:val="•"/>
      <w:lvlJc w:val="left"/>
      <w:pPr>
        <w:tabs>
          <w:tab w:val="num" w:pos="3600"/>
        </w:tabs>
        <w:ind w:left="3600" w:hanging="360"/>
      </w:pPr>
      <w:rPr>
        <w:rFonts w:ascii="Times New Roman" w:hAnsi="Times New Roman" w:hint="default"/>
      </w:rPr>
    </w:lvl>
    <w:lvl w:ilvl="5" w:tplc="60FAAD5C" w:tentative="1">
      <w:start w:val="1"/>
      <w:numFmt w:val="bullet"/>
      <w:lvlText w:val="•"/>
      <w:lvlJc w:val="left"/>
      <w:pPr>
        <w:tabs>
          <w:tab w:val="num" w:pos="4320"/>
        </w:tabs>
        <w:ind w:left="4320" w:hanging="360"/>
      </w:pPr>
      <w:rPr>
        <w:rFonts w:ascii="Times New Roman" w:hAnsi="Times New Roman" w:hint="default"/>
      </w:rPr>
    </w:lvl>
    <w:lvl w:ilvl="6" w:tplc="2B2A2D7E" w:tentative="1">
      <w:start w:val="1"/>
      <w:numFmt w:val="bullet"/>
      <w:lvlText w:val="•"/>
      <w:lvlJc w:val="left"/>
      <w:pPr>
        <w:tabs>
          <w:tab w:val="num" w:pos="5040"/>
        </w:tabs>
        <w:ind w:left="5040" w:hanging="360"/>
      </w:pPr>
      <w:rPr>
        <w:rFonts w:ascii="Times New Roman" w:hAnsi="Times New Roman" w:hint="default"/>
      </w:rPr>
    </w:lvl>
    <w:lvl w:ilvl="7" w:tplc="C654F766" w:tentative="1">
      <w:start w:val="1"/>
      <w:numFmt w:val="bullet"/>
      <w:lvlText w:val="•"/>
      <w:lvlJc w:val="left"/>
      <w:pPr>
        <w:tabs>
          <w:tab w:val="num" w:pos="5760"/>
        </w:tabs>
        <w:ind w:left="5760" w:hanging="360"/>
      </w:pPr>
      <w:rPr>
        <w:rFonts w:ascii="Times New Roman" w:hAnsi="Times New Roman" w:hint="default"/>
      </w:rPr>
    </w:lvl>
    <w:lvl w:ilvl="8" w:tplc="A824FB0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89446B9"/>
    <w:multiLevelType w:val="hybridMultilevel"/>
    <w:tmpl w:val="DFEC18F6"/>
    <w:lvl w:ilvl="0" w:tplc="F4EC8E5C">
      <w:start w:val="1"/>
      <w:numFmt w:val="bullet"/>
      <w:lvlText w:val="•"/>
      <w:lvlJc w:val="left"/>
      <w:pPr>
        <w:tabs>
          <w:tab w:val="num" w:pos="720"/>
        </w:tabs>
        <w:ind w:left="720" w:hanging="360"/>
      </w:pPr>
      <w:rPr>
        <w:rFonts w:ascii="Times New Roman" w:hAnsi="Times New Roman" w:hint="default"/>
      </w:rPr>
    </w:lvl>
    <w:lvl w:ilvl="1" w:tplc="E4F0787C" w:tentative="1">
      <w:start w:val="1"/>
      <w:numFmt w:val="bullet"/>
      <w:lvlText w:val="•"/>
      <w:lvlJc w:val="left"/>
      <w:pPr>
        <w:tabs>
          <w:tab w:val="num" w:pos="1440"/>
        </w:tabs>
        <w:ind w:left="1440" w:hanging="360"/>
      </w:pPr>
      <w:rPr>
        <w:rFonts w:ascii="Times New Roman" w:hAnsi="Times New Roman" w:hint="default"/>
      </w:rPr>
    </w:lvl>
    <w:lvl w:ilvl="2" w:tplc="BE5C8618" w:tentative="1">
      <w:start w:val="1"/>
      <w:numFmt w:val="bullet"/>
      <w:lvlText w:val="•"/>
      <w:lvlJc w:val="left"/>
      <w:pPr>
        <w:tabs>
          <w:tab w:val="num" w:pos="2160"/>
        </w:tabs>
        <w:ind w:left="2160" w:hanging="360"/>
      </w:pPr>
      <w:rPr>
        <w:rFonts w:ascii="Times New Roman" w:hAnsi="Times New Roman" w:hint="default"/>
      </w:rPr>
    </w:lvl>
    <w:lvl w:ilvl="3" w:tplc="DAD0DA1E" w:tentative="1">
      <w:start w:val="1"/>
      <w:numFmt w:val="bullet"/>
      <w:lvlText w:val="•"/>
      <w:lvlJc w:val="left"/>
      <w:pPr>
        <w:tabs>
          <w:tab w:val="num" w:pos="2880"/>
        </w:tabs>
        <w:ind w:left="2880" w:hanging="360"/>
      </w:pPr>
      <w:rPr>
        <w:rFonts w:ascii="Times New Roman" w:hAnsi="Times New Roman" w:hint="default"/>
      </w:rPr>
    </w:lvl>
    <w:lvl w:ilvl="4" w:tplc="7340F89E" w:tentative="1">
      <w:start w:val="1"/>
      <w:numFmt w:val="bullet"/>
      <w:lvlText w:val="•"/>
      <w:lvlJc w:val="left"/>
      <w:pPr>
        <w:tabs>
          <w:tab w:val="num" w:pos="3600"/>
        </w:tabs>
        <w:ind w:left="3600" w:hanging="360"/>
      </w:pPr>
      <w:rPr>
        <w:rFonts w:ascii="Times New Roman" w:hAnsi="Times New Roman" w:hint="default"/>
      </w:rPr>
    </w:lvl>
    <w:lvl w:ilvl="5" w:tplc="5E704854" w:tentative="1">
      <w:start w:val="1"/>
      <w:numFmt w:val="bullet"/>
      <w:lvlText w:val="•"/>
      <w:lvlJc w:val="left"/>
      <w:pPr>
        <w:tabs>
          <w:tab w:val="num" w:pos="4320"/>
        </w:tabs>
        <w:ind w:left="4320" w:hanging="360"/>
      </w:pPr>
      <w:rPr>
        <w:rFonts w:ascii="Times New Roman" w:hAnsi="Times New Roman" w:hint="default"/>
      </w:rPr>
    </w:lvl>
    <w:lvl w:ilvl="6" w:tplc="3C4A3B56" w:tentative="1">
      <w:start w:val="1"/>
      <w:numFmt w:val="bullet"/>
      <w:lvlText w:val="•"/>
      <w:lvlJc w:val="left"/>
      <w:pPr>
        <w:tabs>
          <w:tab w:val="num" w:pos="5040"/>
        </w:tabs>
        <w:ind w:left="5040" w:hanging="360"/>
      </w:pPr>
      <w:rPr>
        <w:rFonts w:ascii="Times New Roman" w:hAnsi="Times New Roman" w:hint="default"/>
      </w:rPr>
    </w:lvl>
    <w:lvl w:ilvl="7" w:tplc="E32C9ADE" w:tentative="1">
      <w:start w:val="1"/>
      <w:numFmt w:val="bullet"/>
      <w:lvlText w:val="•"/>
      <w:lvlJc w:val="left"/>
      <w:pPr>
        <w:tabs>
          <w:tab w:val="num" w:pos="5760"/>
        </w:tabs>
        <w:ind w:left="5760" w:hanging="360"/>
      </w:pPr>
      <w:rPr>
        <w:rFonts w:ascii="Times New Roman" w:hAnsi="Times New Roman" w:hint="default"/>
      </w:rPr>
    </w:lvl>
    <w:lvl w:ilvl="8" w:tplc="9D94E6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057A3C"/>
    <w:multiLevelType w:val="singleLevel"/>
    <w:tmpl w:val="00000002"/>
    <w:lvl w:ilvl="0">
      <w:start w:val="1"/>
      <w:numFmt w:val="lowerLetter"/>
      <w:lvlText w:val="%1."/>
      <w:lvlJc w:val="left"/>
      <w:pPr>
        <w:tabs>
          <w:tab w:val="num" w:pos="0"/>
        </w:tabs>
        <w:ind w:left="720" w:hanging="360"/>
      </w:pPr>
    </w:lvl>
  </w:abstractNum>
  <w:abstractNum w:abstractNumId="15">
    <w:nsid w:val="726D00DA"/>
    <w:multiLevelType w:val="hybridMultilevel"/>
    <w:tmpl w:val="804E9858"/>
    <w:lvl w:ilvl="0" w:tplc="D42C4436">
      <w:start w:val="1"/>
      <w:numFmt w:val="bullet"/>
      <w:lvlText w:val="•"/>
      <w:lvlJc w:val="left"/>
      <w:pPr>
        <w:tabs>
          <w:tab w:val="num" w:pos="720"/>
        </w:tabs>
        <w:ind w:left="720" w:hanging="360"/>
      </w:pPr>
      <w:rPr>
        <w:rFonts w:ascii="Times New Roman" w:hAnsi="Times New Roman" w:hint="default"/>
      </w:rPr>
    </w:lvl>
    <w:lvl w:ilvl="1" w:tplc="46FCC4DC">
      <w:start w:val="998"/>
      <w:numFmt w:val="bullet"/>
      <w:lvlText w:val="–"/>
      <w:lvlJc w:val="left"/>
      <w:pPr>
        <w:tabs>
          <w:tab w:val="num" w:pos="1440"/>
        </w:tabs>
        <w:ind w:left="1440" w:hanging="360"/>
      </w:pPr>
      <w:rPr>
        <w:rFonts w:ascii="Times New Roman" w:hAnsi="Times New Roman" w:hint="default"/>
      </w:rPr>
    </w:lvl>
    <w:lvl w:ilvl="2" w:tplc="AC2A6488">
      <w:start w:val="998"/>
      <w:numFmt w:val="bullet"/>
      <w:lvlText w:val="•"/>
      <w:lvlJc w:val="left"/>
      <w:pPr>
        <w:tabs>
          <w:tab w:val="num" w:pos="2160"/>
        </w:tabs>
        <w:ind w:left="2160" w:hanging="360"/>
      </w:pPr>
      <w:rPr>
        <w:rFonts w:ascii="Times New Roman" w:hAnsi="Times New Roman" w:hint="default"/>
      </w:rPr>
    </w:lvl>
    <w:lvl w:ilvl="3" w:tplc="0FAC86FE" w:tentative="1">
      <w:start w:val="1"/>
      <w:numFmt w:val="bullet"/>
      <w:lvlText w:val="•"/>
      <w:lvlJc w:val="left"/>
      <w:pPr>
        <w:tabs>
          <w:tab w:val="num" w:pos="2880"/>
        </w:tabs>
        <w:ind w:left="2880" w:hanging="360"/>
      </w:pPr>
      <w:rPr>
        <w:rFonts w:ascii="Times New Roman" w:hAnsi="Times New Roman" w:hint="default"/>
      </w:rPr>
    </w:lvl>
    <w:lvl w:ilvl="4" w:tplc="4726D308" w:tentative="1">
      <w:start w:val="1"/>
      <w:numFmt w:val="bullet"/>
      <w:lvlText w:val="•"/>
      <w:lvlJc w:val="left"/>
      <w:pPr>
        <w:tabs>
          <w:tab w:val="num" w:pos="3600"/>
        </w:tabs>
        <w:ind w:left="3600" w:hanging="360"/>
      </w:pPr>
      <w:rPr>
        <w:rFonts w:ascii="Times New Roman" w:hAnsi="Times New Roman" w:hint="default"/>
      </w:rPr>
    </w:lvl>
    <w:lvl w:ilvl="5" w:tplc="772C2F64" w:tentative="1">
      <w:start w:val="1"/>
      <w:numFmt w:val="bullet"/>
      <w:lvlText w:val="•"/>
      <w:lvlJc w:val="left"/>
      <w:pPr>
        <w:tabs>
          <w:tab w:val="num" w:pos="4320"/>
        </w:tabs>
        <w:ind w:left="4320" w:hanging="360"/>
      </w:pPr>
      <w:rPr>
        <w:rFonts w:ascii="Times New Roman" w:hAnsi="Times New Roman" w:hint="default"/>
      </w:rPr>
    </w:lvl>
    <w:lvl w:ilvl="6" w:tplc="9A6CC26A" w:tentative="1">
      <w:start w:val="1"/>
      <w:numFmt w:val="bullet"/>
      <w:lvlText w:val="•"/>
      <w:lvlJc w:val="left"/>
      <w:pPr>
        <w:tabs>
          <w:tab w:val="num" w:pos="5040"/>
        </w:tabs>
        <w:ind w:left="5040" w:hanging="360"/>
      </w:pPr>
      <w:rPr>
        <w:rFonts w:ascii="Times New Roman" w:hAnsi="Times New Roman" w:hint="default"/>
      </w:rPr>
    </w:lvl>
    <w:lvl w:ilvl="7" w:tplc="DD7A35A6" w:tentative="1">
      <w:start w:val="1"/>
      <w:numFmt w:val="bullet"/>
      <w:lvlText w:val="•"/>
      <w:lvlJc w:val="left"/>
      <w:pPr>
        <w:tabs>
          <w:tab w:val="num" w:pos="5760"/>
        </w:tabs>
        <w:ind w:left="5760" w:hanging="360"/>
      </w:pPr>
      <w:rPr>
        <w:rFonts w:ascii="Times New Roman" w:hAnsi="Times New Roman" w:hint="default"/>
      </w:rPr>
    </w:lvl>
    <w:lvl w:ilvl="8" w:tplc="8138DF5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0"/>
  </w:num>
  <w:num w:numId="3">
    <w:abstractNumId w:val="5"/>
  </w:num>
  <w:num w:numId="4">
    <w:abstractNumId w:val="12"/>
  </w:num>
  <w:num w:numId="5">
    <w:abstractNumId w:val="7"/>
  </w:num>
  <w:num w:numId="6">
    <w:abstractNumId w:val="9"/>
  </w:num>
  <w:num w:numId="7">
    <w:abstractNumId w:val="13"/>
  </w:num>
  <w:num w:numId="8">
    <w:abstractNumId w:val="6"/>
  </w:num>
  <w:num w:numId="9">
    <w:abstractNumId w:val="1"/>
  </w:num>
  <w:num w:numId="10">
    <w:abstractNumId w:val="0"/>
  </w:num>
  <w:num w:numId="11">
    <w:abstractNumId w:val="14"/>
  </w:num>
  <w:num w:numId="12">
    <w:abstractNumId w:val="4"/>
  </w:num>
  <w:num w:numId="13">
    <w:abstractNumId w:val="11"/>
  </w:num>
  <w:num w:numId="14">
    <w:abstractNumId w:val="2"/>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06668"/>
    <w:rsid w:val="00005F9D"/>
    <w:rsid w:val="00007EDA"/>
    <w:rsid w:val="00041FCF"/>
    <w:rsid w:val="00054E30"/>
    <w:rsid w:val="00067B7B"/>
    <w:rsid w:val="000E46C2"/>
    <w:rsid w:val="001402C9"/>
    <w:rsid w:val="001425A0"/>
    <w:rsid w:val="0020568E"/>
    <w:rsid w:val="00221C51"/>
    <w:rsid w:val="00252488"/>
    <w:rsid w:val="002653E3"/>
    <w:rsid w:val="0029575A"/>
    <w:rsid w:val="002B04E3"/>
    <w:rsid w:val="002B7C50"/>
    <w:rsid w:val="002C7624"/>
    <w:rsid w:val="002D6109"/>
    <w:rsid w:val="002F3C1D"/>
    <w:rsid w:val="00357E19"/>
    <w:rsid w:val="00364F36"/>
    <w:rsid w:val="003778A4"/>
    <w:rsid w:val="00433871"/>
    <w:rsid w:val="00450D2A"/>
    <w:rsid w:val="004626FC"/>
    <w:rsid w:val="0048311E"/>
    <w:rsid w:val="00485744"/>
    <w:rsid w:val="005009C0"/>
    <w:rsid w:val="00552A5F"/>
    <w:rsid w:val="00581207"/>
    <w:rsid w:val="005B36B9"/>
    <w:rsid w:val="005B7624"/>
    <w:rsid w:val="005D7D7B"/>
    <w:rsid w:val="006240B8"/>
    <w:rsid w:val="00632B04"/>
    <w:rsid w:val="00656562"/>
    <w:rsid w:val="006A7B8E"/>
    <w:rsid w:val="00710003"/>
    <w:rsid w:val="00733288"/>
    <w:rsid w:val="00806668"/>
    <w:rsid w:val="00814501"/>
    <w:rsid w:val="0081586E"/>
    <w:rsid w:val="00852EBE"/>
    <w:rsid w:val="00861C3B"/>
    <w:rsid w:val="0087780B"/>
    <w:rsid w:val="00884FF3"/>
    <w:rsid w:val="008A2BC4"/>
    <w:rsid w:val="008B470C"/>
    <w:rsid w:val="008F5259"/>
    <w:rsid w:val="009A1333"/>
    <w:rsid w:val="00A2127B"/>
    <w:rsid w:val="00A71A52"/>
    <w:rsid w:val="00AF0BF7"/>
    <w:rsid w:val="00B275B3"/>
    <w:rsid w:val="00B4583B"/>
    <w:rsid w:val="00BE23F1"/>
    <w:rsid w:val="00BF5F93"/>
    <w:rsid w:val="00C17F99"/>
    <w:rsid w:val="00C86D95"/>
    <w:rsid w:val="00CE102C"/>
    <w:rsid w:val="00CF7DED"/>
    <w:rsid w:val="00D63159"/>
    <w:rsid w:val="00D667BB"/>
    <w:rsid w:val="00D773CE"/>
    <w:rsid w:val="00D80A2A"/>
    <w:rsid w:val="00DD519B"/>
    <w:rsid w:val="00DE6540"/>
    <w:rsid w:val="00E265E7"/>
    <w:rsid w:val="00E41658"/>
    <w:rsid w:val="00E439D4"/>
    <w:rsid w:val="00E92983"/>
    <w:rsid w:val="00EA2406"/>
    <w:rsid w:val="00EA6641"/>
    <w:rsid w:val="00F54219"/>
    <w:rsid w:val="00F80C0A"/>
    <w:rsid w:val="00FA13BA"/>
    <w:rsid w:val="00FD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68"/>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6C2"/>
    <w:rPr>
      <w:rFonts w:ascii="Tahoma" w:eastAsia="Calibri" w:hAnsi="Tahoma" w:cs="Tahoma"/>
      <w:sz w:val="16"/>
      <w:szCs w:val="16"/>
      <w:lang w:eastAsia="ar-SA"/>
    </w:rPr>
  </w:style>
  <w:style w:type="paragraph" w:styleId="ListParagraph">
    <w:name w:val="List Paragraph"/>
    <w:basedOn w:val="Normal"/>
    <w:qFormat/>
    <w:rsid w:val="000E46C2"/>
    <w:pPr>
      <w:ind w:left="720"/>
    </w:pPr>
    <w:rPr>
      <w:lang w:val="en-GB"/>
    </w:rPr>
  </w:style>
  <w:style w:type="paragraph" w:styleId="NoSpacing">
    <w:name w:val="No Spacing"/>
    <w:qFormat/>
    <w:rsid w:val="000E46C2"/>
    <w:pPr>
      <w:suppressAutoHyphens/>
      <w:spacing w:after="0" w:line="240" w:lineRule="auto"/>
    </w:pPr>
    <w:rPr>
      <w:rFonts w:ascii="Calibri" w:eastAsia="Calibri" w:hAnsi="Calibri" w:cs="Calibri"/>
      <w:lang w:val="en-GB" w:eastAsia="ar-SA"/>
    </w:rPr>
  </w:style>
  <w:style w:type="table" w:styleId="TableGrid">
    <w:name w:val="Table Grid"/>
    <w:basedOn w:val="TableNormal"/>
    <w:uiPriority w:val="59"/>
    <w:rsid w:val="00450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1E"/>
    <w:rPr>
      <w:rFonts w:ascii="Calibri" w:eastAsia="Calibri" w:hAnsi="Calibri" w:cs="Calibri"/>
      <w:lang w:eastAsia="ar-SA"/>
    </w:rPr>
  </w:style>
  <w:style w:type="paragraph" w:styleId="Footer">
    <w:name w:val="footer"/>
    <w:basedOn w:val="Normal"/>
    <w:link w:val="FooterChar"/>
    <w:uiPriority w:val="99"/>
    <w:semiHidden/>
    <w:unhideWhenUsed/>
    <w:rsid w:val="004831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11E"/>
    <w:rPr>
      <w:rFonts w:ascii="Calibri" w:eastAsia="Calibri" w:hAnsi="Calibri" w:cs="Calibri"/>
      <w:lang w:eastAsia="ar-SA"/>
    </w:rPr>
  </w:style>
  <w:style w:type="paragraph" w:styleId="NormalWeb">
    <w:name w:val="Normal (Web)"/>
    <w:basedOn w:val="Normal"/>
    <w:uiPriority w:val="99"/>
    <w:unhideWhenUsed/>
    <w:rsid w:val="00C86D95"/>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Collection (N)</c:v>
                </c:pt>
              </c:strCache>
            </c:strRef>
          </c:tx>
          <c:cat>
            <c:strRef>
              <c:f>Sheet1!$A$2:$A$12</c:f>
              <c:strCache>
                <c:ptCount val="11"/>
                <c:pt idx="0">
                  <c:v>1999</c:v>
                </c:pt>
                <c:pt idx="1">
                  <c:v>2000</c:v>
                </c:pt>
                <c:pt idx="2">
                  <c:v>2001</c:v>
                </c:pt>
                <c:pt idx="3">
                  <c:v>2002</c:v>
                </c:pt>
                <c:pt idx="4">
                  <c:v>2003</c:v>
                </c:pt>
                <c:pt idx="5">
                  <c:v>2004</c:v>
                </c:pt>
                <c:pt idx="6">
                  <c:v>2005</c:v>
                </c:pt>
                <c:pt idx="7">
                  <c:v>2006</c:v>
                </c:pt>
                <c:pt idx="8">
                  <c:v>2007</c:v>
                </c:pt>
                <c:pt idx="9">
                  <c:v>2008</c:v>
                </c:pt>
                <c:pt idx="10">
                  <c:v>2009 ( Jan - Sept)</c:v>
                </c:pt>
              </c:strCache>
            </c:strRef>
          </c:cat>
          <c:val>
            <c:numRef>
              <c:f>Sheet1!$B$2:$B$12</c:f>
              <c:numCache>
                <c:formatCode>#,##0</c:formatCode>
                <c:ptCount val="11"/>
                <c:pt idx="0">
                  <c:v>245301561</c:v>
                </c:pt>
                <c:pt idx="1">
                  <c:v>620776408</c:v>
                </c:pt>
                <c:pt idx="2">
                  <c:v>1116375968</c:v>
                </c:pt>
                <c:pt idx="3">
                  <c:v>1039292138</c:v>
                </c:pt>
                <c:pt idx="4">
                  <c:v>1180107272</c:v>
                </c:pt>
                <c:pt idx="5">
                  <c:v>1897882141</c:v>
                </c:pt>
                <c:pt idx="6">
                  <c:v>2978175115</c:v>
                </c:pt>
                <c:pt idx="7">
                  <c:v>3141503924</c:v>
                </c:pt>
                <c:pt idx="8" formatCode="#,##0.00">
                  <c:v>3396192309</c:v>
                </c:pt>
                <c:pt idx="9">
                  <c:v>6447975866</c:v>
                </c:pt>
                <c:pt idx="10">
                  <c:v>4242617470</c:v>
                </c:pt>
              </c:numCache>
            </c:numRef>
          </c:val>
        </c:ser>
        <c:axId val="90756992"/>
        <c:axId val="90763648"/>
      </c:barChart>
      <c:catAx>
        <c:axId val="90756992"/>
        <c:scaling>
          <c:orientation val="minMax"/>
        </c:scaling>
        <c:axPos val="b"/>
        <c:title>
          <c:tx>
            <c:rich>
              <a:bodyPr/>
              <a:lstStyle/>
              <a:p>
                <a:pPr>
                  <a:defRPr lang="en-US" sz="996" b="1" i="0" u="none" strike="noStrike" baseline="0">
                    <a:solidFill>
                      <a:srgbClr val="000000"/>
                    </a:solidFill>
                    <a:latin typeface="Calibri"/>
                    <a:ea typeface="Calibri"/>
                    <a:cs typeface="Calibri"/>
                  </a:defRPr>
                </a:pPr>
                <a:r>
                  <a:rPr lang="en-US"/>
                  <a:t>YEAR</a:t>
                </a:r>
              </a:p>
            </c:rich>
          </c:tx>
        </c:title>
        <c:numFmt formatCode="General" sourceLinked="1"/>
        <c:tickLblPos val="nextTo"/>
        <c:txPr>
          <a:bodyPr/>
          <a:lstStyle/>
          <a:p>
            <a:pPr>
              <a:defRPr lang="en-US"/>
            </a:pPr>
            <a:endParaRPr lang="en-US"/>
          </a:p>
        </c:txPr>
        <c:crossAx val="90763648"/>
        <c:crosses val="autoZero"/>
        <c:auto val="1"/>
        <c:lblAlgn val="ctr"/>
        <c:lblOffset val="100"/>
      </c:catAx>
      <c:valAx>
        <c:axId val="90763648"/>
        <c:scaling>
          <c:orientation val="minMax"/>
        </c:scaling>
        <c:axPos val="l"/>
        <c:majorGridlines/>
        <c:title>
          <c:tx>
            <c:rich>
              <a:bodyPr/>
              <a:lstStyle/>
              <a:p>
                <a:pPr>
                  <a:defRPr lang="en-US" sz="996" b="1" i="0" u="none" strike="noStrike" baseline="0">
                    <a:solidFill>
                      <a:srgbClr val="000000"/>
                    </a:solidFill>
                    <a:latin typeface="Calibri"/>
                    <a:ea typeface="Calibri"/>
                    <a:cs typeface="Calibri"/>
                  </a:defRPr>
                </a:pPr>
                <a:r>
                  <a:rPr lang="en-US"/>
                  <a:t>IGR COLLECTIONS</a:t>
                </a:r>
              </a:p>
            </c:rich>
          </c:tx>
        </c:title>
        <c:numFmt formatCode="#,##0" sourceLinked="1"/>
        <c:tickLblPos val="nextTo"/>
        <c:txPr>
          <a:bodyPr/>
          <a:lstStyle/>
          <a:p>
            <a:pPr>
              <a:defRPr lang="en-US"/>
            </a:pPr>
            <a:endParaRPr lang="en-US"/>
          </a:p>
        </c:txPr>
        <c:crossAx val="90756992"/>
        <c:crosses val="autoZero"/>
        <c:crossBetween val="between"/>
      </c:valAx>
    </c:plotArea>
    <c:legend>
      <c:legendPos val="r"/>
      <c:txPr>
        <a:bodyPr/>
        <a:lstStyle/>
        <a:p>
          <a:pPr>
            <a:defRPr lang="en-US"/>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11</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Ayara</dc:creator>
  <cp:lastModifiedBy>Gashinbaki</cp:lastModifiedBy>
  <cp:revision>2</cp:revision>
  <dcterms:created xsi:type="dcterms:W3CDTF">2009-11-16T08:34:00Z</dcterms:created>
  <dcterms:modified xsi:type="dcterms:W3CDTF">2009-11-16T08:34:00Z</dcterms:modified>
</cp:coreProperties>
</file>