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MINUTES OF THE MEETING OF STATE COMMITTEE ON FOOD AND NUTRITION HELD ON THE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 AT THE OFFICE OF THE PERMANENT SECRETAR</w:t>
      </w:r>
      <w:r>
        <w:rPr>
          <w:sz w:val="28"/>
          <w:szCs w:val="28"/>
          <w:lang w:val="en-US"/>
        </w:rPr>
        <w:t>Y.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Attendance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51"/>
        <w:gridCol w:w="2819"/>
        <w:gridCol w:w="2020"/>
        <w:gridCol w:w="2246"/>
        <w:gridCol w:w="1941"/>
      </w:tblGrid>
      <w:tr>
        <w:trPr>
          <w:trHeight w:val="467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Names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Agency/Ministry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Phone No.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Leah </w:t>
            </w:r>
            <w:r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ina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Gopar</w:t>
            </w:r>
            <w:r>
              <w:rPr>
                <w:sz w:val="28"/>
                <w:szCs w:val="28"/>
              </w:rPr>
              <w:t xml:space="preserve"> ESQ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Director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of Education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08036176608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C. </w:t>
            </w:r>
            <w:r>
              <w:rPr>
                <w:sz w:val="28"/>
                <w:szCs w:val="28"/>
              </w:rPr>
              <w:t>Wuyep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Chairman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Farmers Association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07032198359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Anthony J. </w:t>
            </w:r>
            <w:r>
              <w:rPr>
                <w:sz w:val="28"/>
                <w:szCs w:val="28"/>
              </w:rPr>
              <w:t>Goselle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Chairman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Farmers Association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08066569621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Phoebe </w:t>
            </w:r>
            <w:r>
              <w:rPr>
                <w:sz w:val="28"/>
                <w:szCs w:val="28"/>
              </w:rPr>
              <w:t>Ziyok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Officer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PSPHCB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08036113878</w:t>
            </w:r>
          </w:p>
        </w:tc>
      </w:tr>
      <w:tr>
        <w:tblPrEx/>
        <w:trPr>
          <w:trHeight w:val="53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Choji</w:t>
            </w:r>
            <w:r>
              <w:rPr>
                <w:sz w:val="28"/>
                <w:szCs w:val="28"/>
              </w:rPr>
              <w:t xml:space="preserve"> K. Luka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Director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MOCI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08039644887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Zakari</w:t>
            </w:r>
            <w:r>
              <w:rPr>
                <w:sz w:val="28"/>
                <w:szCs w:val="28"/>
              </w:rPr>
              <w:t xml:space="preserve">. A 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MOBEP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08061596591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Agatha </w:t>
            </w:r>
            <w:r>
              <w:rPr>
                <w:sz w:val="28"/>
                <w:szCs w:val="28"/>
              </w:rPr>
              <w:t>Dapel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UNICEF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OSGS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08064703510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Mercy Samson </w:t>
            </w:r>
            <w:r>
              <w:rPr>
                <w:sz w:val="28"/>
                <w:szCs w:val="28"/>
              </w:rPr>
              <w:t>Remson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DDPL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MOBEP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08100038417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Theodora </w:t>
            </w:r>
            <w:r>
              <w:rPr>
                <w:sz w:val="28"/>
                <w:szCs w:val="28"/>
              </w:rPr>
              <w:t>Damulak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of Information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MOIC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07067078232</w:t>
            </w:r>
          </w:p>
        </w:tc>
      </w:tr>
      <w:tr>
        <w:tblPrEx/>
        <w:trPr>
          <w:trHeight w:val="440" w:hRule="atLeast"/>
        </w:trPr>
        <w:tc>
          <w:tcPr>
            <w:tcW w:w="5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Rosemary Dusu</w:t>
            </w:r>
          </w:p>
        </w:tc>
        <w:tc>
          <w:tcPr>
            <w:tcW w:w="212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D/M&amp;E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MOBEP</w:t>
            </w:r>
          </w:p>
        </w:tc>
        <w:tc>
          <w:tcPr>
            <w:tcW w:w="163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08036468562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Emmanuel </w:t>
      </w:r>
      <w:r>
        <w:rPr>
          <w:sz w:val="28"/>
          <w:szCs w:val="28"/>
        </w:rPr>
        <w:t>Naron</w:t>
      </w:r>
      <w:r>
        <w:rPr>
          <w:sz w:val="28"/>
          <w:szCs w:val="28"/>
        </w:rPr>
        <w:t xml:space="preserve"> took notes.</w:t>
      </w:r>
    </w:p>
    <w:p>
      <w:pPr>
        <w:pStyle w:val="style179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Prayer/Remark</w:t>
      </w:r>
    </w:p>
    <w:p>
      <w:pPr>
        <w:pStyle w:val="style17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meeting commences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a word of prayer by Leah </w:t>
      </w:r>
      <w:r>
        <w:rPr>
          <w:sz w:val="28"/>
          <w:szCs w:val="28"/>
        </w:rPr>
        <w:t>Jina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Gopar</w:t>
      </w:r>
      <w:r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10:45am and it was followed by a welcome remark by the Director Administration who chaired the meeting. She apologized for the late commencement of the meeting and called for self introduction.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Reading/Adoption of Last M</w:t>
      </w:r>
      <w:r>
        <w:rPr>
          <w:sz w:val="28"/>
          <w:szCs w:val="28"/>
        </w:rPr>
        <w:t>inutes.</w:t>
      </w:r>
    </w:p>
    <w:p>
      <w:pPr>
        <w:pStyle w:val="style179"/>
        <w:ind w:left="360"/>
        <w:rPr>
          <w:sz w:val="28"/>
          <w:szCs w:val="28"/>
        </w:rPr>
      </w:pPr>
      <w:r>
        <w:rPr>
          <w:sz w:val="28"/>
          <w:szCs w:val="28"/>
        </w:rPr>
        <w:t>The Minutes of the last minutes was read and the following observations were mad</w:t>
      </w:r>
      <w:r>
        <w:rPr>
          <w:sz w:val="28"/>
          <w:szCs w:val="28"/>
        </w:rPr>
        <w:t>e: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That the person who said the closing prayer was omitted 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commitment area were not are </w:t>
      </w:r>
    </w:p>
    <w:p>
      <w:pPr>
        <w:pStyle w:val="style179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 the absence of any correction, Luka </w:t>
      </w:r>
      <w:r>
        <w:rPr>
          <w:sz w:val="28"/>
          <w:szCs w:val="28"/>
        </w:rPr>
        <w:t>Choji</w:t>
      </w:r>
      <w:r>
        <w:rPr>
          <w:sz w:val="28"/>
          <w:szCs w:val="28"/>
        </w:rPr>
        <w:t xml:space="preserve"> moved for the adoption of the minutes and was seconded by </w:t>
      </w:r>
      <w:r>
        <w:rPr>
          <w:sz w:val="28"/>
          <w:szCs w:val="28"/>
        </w:rPr>
        <w:t>Tukur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Zakari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</w:t>
      </w:r>
      <w:r>
        <w:rPr>
          <w:sz w:val="28"/>
          <w:szCs w:val="28"/>
        </w:rPr>
        <w:t>ising From Last Minutes</w:t>
      </w:r>
    </w:p>
    <w:p>
      <w:pPr>
        <w:pStyle w:val="style17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Work Plan: the work plan was designed and presented for adoption. Members studied the work plan and adopted it and stated that feedback should be sent back soonest. </w:t>
      </w:r>
    </w:p>
    <w:p>
      <w:pPr>
        <w:pStyle w:val="style17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Members from the Farmers Association </w:t>
      </w:r>
      <w:r>
        <w:rPr>
          <w:sz w:val="28"/>
          <w:szCs w:val="28"/>
        </w:rPr>
        <w:t>have seriously ---- on farm inputs which they say was grossly inadequate and promised to access farm inputs for their members. They also observe that Plateau is blessed with a lot of dams that have not been put into used for dry season farming</w:t>
      </w:r>
      <w:r>
        <w:rPr>
          <w:sz w:val="28"/>
          <w:szCs w:val="28"/>
        </w:rPr>
        <w:t>. It was observed too that Plateau has not been on the food map of the country despite the---- harvest in the state due to the activities of middlemen. Government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urging</w:t>
      </w:r>
      <w:r>
        <w:rPr>
          <w:sz w:val="28"/>
          <w:szCs w:val="28"/>
        </w:rPr>
        <w:t xml:space="preserve"> to do something in that regard.</w:t>
      </w:r>
    </w:p>
    <w:p>
      <w:pPr>
        <w:pStyle w:val="style179"/>
        <w:ind w:left="360"/>
        <w:rPr>
          <w:sz w:val="28"/>
          <w:szCs w:val="28"/>
        </w:rPr>
      </w:pPr>
      <w:r>
        <w:rPr>
          <w:sz w:val="28"/>
          <w:szCs w:val="28"/>
        </w:rPr>
        <w:t>As f</w:t>
      </w:r>
      <w:r>
        <w:rPr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 the letter to the He</w:t>
      </w:r>
      <w:r>
        <w:rPr>
          <w:sz w:val="28"/>
          <w:szCs w:val="28"/>
        </w:rPr>
        <w:t xml:space="preserve">ad of Service on the six </w:t>
      </w:r>
      <w:r>
        <w:rPr>
          <w:sz w:val="28"/>
          <w:szCs w:val="28"/>
        </w:rPr>
        <w:t>months maternity leave with pay, the secretariat is yet to do that but promise to expedite action.</w:t>
      </w:r>
    </w:p>
    <w:p>
      <w:pPr>
        <w:pStyle w:val="style17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Establishment of functional </w:t>
      </w:r>
      <w:r>
        <w:rPr>
          <w:sz w:val="28"/>
          <w:szCs w:val="28"/>
        </w:rPr>
        <w:t>crèche</w:t>
      </w:r>
      <w:r>
        <w:rPr>
          <w:sz w:val="28"/>
          <w:szCs w:val="28"/>
        </w:rPr>
        <w:t xml:space="preserve"> in the secretariat, no representative from the ministry of women affairs and social development to brief the SCFN.</w:t>
      </w:r>
    </w:p>
    <w:p>
      <w:pPr>
        <w:pStyle w:val="style17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On the commitment area 4, nothing was at hand but promised to get in touch with the relevant authority.</w:t>
      </w:r>
    </w:p>
    <w:p>
      <w:pPr>
        <w:pStyle w:val="style17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It was also resolved that the secretariat should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get in touch with the representative from the ministry of agriculture and rural development on the issue of data harmonization.</w:t>
      </w:r>
    </w:p>
    <w:p>
      <w:pPr>
        <w:pStyle w:val="style17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A.O.B</w:t>
      </w:r>
    </w:p>
    <w:p>
      <w:pPr>
        <w:pStyle w:val="style17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time frame for the development of NSMP should be suggested.</w:t>
      </w:r>
    </w:p>
    <w:p>
      <w:pPr>
        <w:pStyle w:val="style17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The SCFN should visit states that already ahead of Plateau State for guidance</w:t>
      </w:r>
    </w:p>
    <w:p>
      <w:pPr>
        <w:pStyle w:val="style17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Director Administration on behalf of the Hon. Commissioner appreciated all for coming especially those from AFAN, urging them not to be discouraged in their efforts.</w:t>
      </w: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CCEF00"/>
    <w:lvl w:ilvl="0" w:tplc="3D648F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DCA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482</Words>
  <Pages>2</Pages>
  <Characters>2449</Characters>
  <Application>WPS Office</Application>
  <DocSecurity>0</DocSecurity>
  <Paragraphs>90</Paragraphs>
  <ScaleCrop>false</ScaleCrop>
  <LinksUpToDate>false</LinksUpToDate>
  <CharactersWithSpaces>2883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2021-07-23T13:07:17Z</dcterms:created>
  <dc:creator>u</dc:creator>
  <lastModifiedBy>Infinix X650</lastModifiedBy>
  <dcterms:modified xsi:type="dcterms:W3CDTF">2021-07-23T13:07:18Z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