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4B" w:rsidRPr="00AB274D" w:rsidRDefault="00683B4B" w:rsidP="00683B4B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1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4B" w:rsidRPr="00AB274D" w:rsidRDefault="00683B4B" w:rsidP="00683B4B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683B4B" w:rsidRPr="00AB274D" w:rsidRDefault="00683B4B" w:rsidP="00683B4B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683B4B" w:rsidRDefault="00683B4B" w:rsidP="00683B4B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r>
        <w:rPr>
          <w:rFonts w:ascii="Garamond" w:hAnsi="Garamond"/>
          <w:b/>
          <w:sz w:val="28"/>
          <w:szCs w:val="28"/>
          <w:u w:val="single"/>
        </w:rPr>
        <w:t>Sokoto</w:t>
      </w:r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683B4B" w:rsidRPr="00683B4B" w:rsidRDefault="00683B4B" w:rsidP="00683B4B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14"/>
          <w:szCs w:val="28"/>
          <w:u w:val="single"/>
        </w:rPr>
      </w:pPr>
    </w:p>
    <w:p w:rsidR="001E2223" w:rsidRDefault="00683B4B" w:rsidP="00683B4B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Sokoto State’s </w:t>
      </w:r>
      <w:r w:rsidR="004337BD">
        <w:rPr>
          <w:rFonts w:ascii="Garamond" w:hAnsi="Garamond"/>
          <w:sz w:val="26"/>
          <w:szCs w:val="26"/>
        </w:rPr>
        <w:t xml:space="preserve">internally generated revenue </w:t>
      </w:r>
      <w:r w:rsidR="007E69AB">
        <w:rPr>
          <w:rFonts w:ascii="Garamond" w:hAnsi="Garamond"/>
          <w:sz w:val="26"/>
          <w:szCs w:val="26"/>
        </w:rPr>
        <w:t>(</w:t>
      </w:r>
      <w:r>
        <w:rPr>
          <w:rFonts w:ascii="Garamond" w:hAnsi="Garamond"/>
          <w:sz w:val="26"/>
          <w:szCs w:val="26"/>
        </w:rPr>
        <w:t>IGR</w:t>
      </w:r>
      <w:r w:rsidR="007E69AB">
        <w:rPr>
          <w:rFonts w:ascii="Garamond" w:hAnsi="Garamond"/>
          <w:sz w:val="26"/>
          <w:szCs w:val="26"/>
        </w:rPr>
        <w:t>)</w:t>
      </w:r>
      <w:r>
        <w:rPr>
          <w:rFonts w:ascii="Garamond" w:hAnsi="Garamond"/>
          <w:sz w:val="26"/>
          <w:szCs w:val="26"/>
        </w:rPr>
        <w:t xml:space="preserve"> </w:t>
      </w:r>
      <w:r w:rsidR="00D32EA8">
        <w:rPr>
          <w:rFonts w:ascii="Garamond" w:hAnsi="Garamond"/>
          <w:sz w:val="26"/>
          <w:szCs w:val="26"/>
        </w:rPr>
        <w:t xml:space="preserve">grew by 9.6% </w:t>
      </w:r>
      <w:r w:rsidR="004337BD">
        <w:rPr>
          <w:rFonts w:ascii="Garamond" w:hAnsi="Garamond"/>
          <w:sz w:val="26"/>
          <w:szCs w:val="26"/>
        </w:rPr>
        <w:t xml:space="preserve">in </w:t>
      </w:r>
      <w:r w:rsidR="004337BD" w:rsidRPr="00683B4B">
        <w:rPr>
          <w:rFonts w:ascii="Garamond" w:hAnsi="Garamond"/>
          <w:sz w:val="26"/>
          <w:szCs w:val="26"/>
        </w:rPr>
        <w:t>the last five years</w:t>
      </w:r>
      <w:r w:rsidR="004337BD">
        <w:rPr>
          <w:rFonts w:ascii="Garamond" w:hAnsi="Garamond"/>
          <w:sz w:val="26"/>
          <w:szCs w:val="26"/>
        </w:rPr>
        <w:t>,</w:t>
      </w:r>
      <w:r w:rsidR="004337BD" w:rsidRPr="00683B4B">
        <w:rPr>
          <w:rFonts w:ascii="Garamond" w:hAnsi="Garamond"/>
          <w:sz w:val="26"/>
          <w:szCs w:val="26"/>
        </w:rPr>
        <w:t xml:space="preserve"> </w:t>
      </w:r>
      <w:r w:rsidR="00D32EA8">
        <w:rPr>
          <w:rFonts w:ascii="Garamond" w:hAnsi="Garamond"/>
          <w:sz w:val="26"/>
          <w:szCs w:val="26"/>
        </w:rPr>
        <w:t>from N3.9 billion in 2010 to N5.6</w:t>
      </w:r>
      <w:r w:rsidR="001E2223" w:rsidRPr="00683B4B">
        <w:rPr>
          <w:rFonts w:ascii="Garamond" w:hAnsi="Garamond"/>
          <w:sz w:val="26"/>
          <w:szCs w:val="26"/>
        </w:rPr>
        <w:t xml:space="preserve"> billion in 2014. </w:t>
      </w:r>
      <w:r w:rsidR="007E69AB">
        <w:rPr>
          <w:rFonts w:ascii="Garamond" w:hAnsi="Garamond"/>
          <w:sz w:val="26"/>
          <w:szCs w:val="26"/>
        </w:rPr>
        <w:t>It</w:t>
      </w:r>
      <w:r w:rsidR="00D32EA8">
        <w:rPr>
          <w:rFonts w:ascii="Garamond" w:hAnsi="Garamond"/>
          <w:sz w:val="26"/>
          <w:szCs w:val="26"/>
        </w:rPr>
        <w:t xml:space="preserve"> was</w:t>
      </w:r>
      <w:r w:rsidR="007E69AB">
        <w:rPr>
          <w:rFonts w:ascii="Garamond" w:hAnsi="Garamond"/>
          <w:sz w:val="26"/>
          <w:szCs w:val="26"/>
        </w:rPr>
        <w:t xml:space="preserve"> also</w:t>
      </w:r>
      <w:r w:rsidR="00D32EA8">
        <w:rPr>
          <w:rFonts w:ascii="Garamond" w:hAnsi="Garamond"/>
          <w:sz w:val="26"/>
          <w:szCs w:val="26"/>
        </w:rPr>
        <w:t xml:space="preserve"> 9</w:t>
      </w:r>
      <w:r w:rsidR="001E2223" w:rsidRPr="00683B4B">
        <w:rPr>
          <w:rFonts w:ascii="Garamond" w:hAnsi="Garamond"/>
          <w:sz w:val="26"/>
          <w:szCs w:val="26"/>
        </w:rPr>
        <w:t xml:space="preserve">% </w:t>
      </w:r>
      <w:r w:rsidR="007E69AB">
        <w:rPr>
          <w:rFonts w:ascii="Garamond" w:hAnsi="Garamond"/>
          <w:sz w:val="26"/>
          <w:szCs w:val="26"/>
        </w:rPr>
        <w:t xml:space="preserve">of </w:t>
      </w:r>
      <w:r w:rsidR="001E2223" w:rsidRPr="00683B4B">
        <w:rPr>
          <w:rFonts w:ascii="Garamond" w:hAnsi="Garamond"/>
          <w:sz w:val="26"/>
          <w:szCs w:val="26"/>
        </w:rPr>
        <w:t xml:space="preserve">the State’s total recurrent </w:t>
      </w:r>
      <w:r w:rsidR="005C02CE">
        <w:rPr>
          <w:rFonts w:ascii="Garamond" w:hAnsi="Garamond"/>
          <w:sz w:val="26"/>
          <w:szCs w:val="26"/>
        </w:rPr>
        <w:t>revenue</w:t>
      </w:r>
      <w:bookmarkStart w:id="0" w:name="_GoBack"/>
      <w:bookmarkEnd w:id="0"/>
      <w:r w:rsidR="001E2223" w:rsidRPr="00683B4B">
        <w:rPr>
          <w:rFonts w:ascii="Garamond" w:hAnsi="Garamond"/>
          <w:sz w:val="26"/>
          <w:szCs w:val="26"/>
        </w:rPr>
        <w:t xml:space="preserve"> </w:t>
      </w:r>
      <w:r w:rsidR="007E69AB">
        <w:rPr>
          <w:rFonts w:ascii="Garamond" w:hAnsi="Garamond"/>
          <w:sz w:val="26"/>
          <w:szCs w:val="26"/>
        </w:rPr>
        <w:t xml:space="preserve">in 2014. The State’s performance has remained </w:t>
      </w:r>
      <w:r w:rsidR="004337BD">
        <w:rPr>
          <w:rFonts w:ascii="Garamond" w:hAnsi="Garamond"/>
          <w:sz w:val="26"/>
          <w:szCs w:val="26"/>
        </w:rPr>
        <w:t xml:space="preserve">relatively </w:t>
      </w:r>
      <w:r w:rsidR="007E69AB">
        <w:rPr>
          <w:rFonts w:ascii="Garamond" w:hAnsi="Garamond"/>
          <w:sz w:val="26"/>
          <w:szCs w:val="26"/>
        </w:rPr>
        <w:t xml:space="preserve">poor, </w:t>
      </w:r>
      <w:r w:rsidR="004337BD">
        <w:rPr>
          <w:rFonts w:ascii="Garamond" w:hAnsi="Garamond"/>
          <w:sz w:val="26"/>
          <w:szCs w:val="26"/>
        </w:rPr>
        <w:t>generating</w:t>
      </w:r>
      <w:r w:rsidR="007E69AB">
        <w:rPr>
          <w:rFonts w:ascii="Garamond" w:hAnsi="Garamond"/>
          <w:sz w:val="26"/>
          <w:szCs w:val="26"/>
        </w:rPr>
        <w:t xml:space="preserve"> a monthly average less than N500 million while its fiscal dependence on federation revenues was approximately 9</w:t>
      </w:r>
      <w:r w:rsidR="004337BD">
        <w:rPr>
          <w:rFonts w:ascii="Garamond" w:hAnsi="Garamond"/>
          <w:sz w:val="26"/>
          <w:szCs w:val="26"/>
        </w:rPr>
        <w:t>1</w:t>
      </w:r>
      <w:r w:rsidR="007E69AB">
        <w:rPr>
          <w:rFonts w:ascii="Garamond" w:hAnsi="Garamond"/>
          <w:sz w:val="26"/>
          <w:szCs w:val="26"/>
        </w:rPr>
        <w:t>%.</w:t>
      </w:r>
    </w:p>
    <w:p w:rsidR="00683B4B" w:rsidRPr="00720BD5" w:rsidRDefault="00683B4B" w:rsidP="00683B4B">
      <w:pPr>
        <w:jc w:val="center"/>
        <w:rPr>
          <w:rFonts w:ascii="Garamond" w:hAnsi="Garamond"/>
          <w:b/>
          <w:sz w:val="26"/>
          <w:szCs w:val="26"/>
        </w:rPr>
      </w:pPr>
      <w:r w:rsidRPr="00720BD5">
        <w:rPr>
          <w:rFonts w:ascii="Garamond" w:hAnsi="Garamond"/>
          <w:b/>
          <w:sz w:val="26"/>
          <w:szCs w:val="26"/>
        </w:rPr>
        <w:t>IGR SNAPSHOT IN THE NORTH WEST ZONE (2014)</w:t>
      </w:r>
    </w:p>
    <w:tbl>
      <w:tblPr>
        <w:tblW w:w="9496" w:type="dxa"/>
        <w:jc w:val="center"/>
        <w:tblInd w:w="93" w:type="dxa"/>
        <w:tblLook w:val="04A0" w:firstRow="1" w:lastRow="0" w:firstColumn="1" w:lastColumn="0" w:noHBand="0" w:noVBand="1"/>
      </w:tblPr>
      <w:tblGrid>
        <w:gridCol w:w="636"/>
        <w:gridCol w:w="1347"/>
        <w:gridCol w:w="1776"/>
        <w:gridCol w:w="1889"/>
        <w:gridCol w:w="1281"/>
        <w:gridCol w:w="2177"/>
        <w:gridCol w:w="1266"/>
      </w:tblGrid>
      <w:tr w:rsidR="00683B4B" w:rsidRPr="00720BD5" w:rsidTr="009B6196">
        <w:trPr>
          <w:trHeight w:val="900"/>
          <w:jc w:val="center"/>
        </w:trPr>
        <w:tc>
          <w:tcPr>
            <w:tcW w:w="572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683B4B" w:rsidRPr="00720BD5" w:rsidRDefault="00683B4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31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683B4B" w:rsidRPr="00720BD5" w:rsidRDefault="00683B4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18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683B4B" w:rsidRPr="00720BD5" w:rsidRDefault="00683B4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71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683B4B" w:rsidRPr="00720BD5" w:rsidRDefault="00683B4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12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683B4B" w:rsidRPr="00720BD5" w:rsidRDefault="00683B4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1785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683B4B" w:rsidRPr="00720BD5" w:rsidRDefault="00683B4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6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683B4B" w:rsidRPr="00720BD5" w:rsidRDefault="00683B4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683B4B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KANO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1,138,487,827.99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13,661,853,935.85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14.1%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1,120.78 </w:t>
            </w:r>
          </w:p>
        </w:tc>
      </w:tr>
      <w:tr w:rsidR="00683B4B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KADUNA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1,065,210,209.54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12,782,522,514.51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15.9%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1,650.55 </w:t>
            </w:r>
          </w:p>
        </w:tc>
      </w:tr>
      <w:tr w:rsidR="00683B4B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 JIGAWA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522,775,884.70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6,273,310,616.35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49.9%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9.8%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    1,144.42 </w:t>
            </w:r>
          </w:p>
        </w:tc>
      </w:tr>
      <w:tr w:rsidR="00683B4B" w:rsidRPr="00683B4B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 xml:space="preserve">KATSINA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 xml:space="preserve">518,586,466.58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 xml:space="preserve">6,223,037,599.00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>18.5%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>8.9%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 xml:space="preserve">846.76 </w:t>
            </w:r>
          </w:p>
        </w:tc>
      </w:tr>
      <w:tr w:rsidR="00683B4B" w:rsidRPr="00683B4B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SOKOTO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468,146,938.36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5,617,763,260.35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color w:val="FF0000"/>
                <w:sz w:val="24"/>
                <w:szCs w:val="24"/>
              </w:rPr>
              <w:t>9.6%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color w:val="FF0000"/>
                <w:sz w:val="24"/>
                <w:szCs w:val="24"/>
              </w:rPr>
              <w:t>9.0%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683B4B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1,197.71 </w:t>
            </w:r>
          </w:p>
        </w:tc>
      </w:tr>
      <w:tr w:rsidR="00683B4B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KEBBI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319,511,970.16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3,834,143,641.95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6.6%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922.24 </w:t>
            </w:r>
          </w:p>
        </w:tc>
      </w:tr>
      <w:tr w:rsidR="00683B4B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ZAMFARA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262,469,212.83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3,149,630,553.96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11.1%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83B4B" w:rsidRPr="00720BD5" w:rsidRDefault="00683B4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746.62 </w:t>
            </w:r>
          </w:p>
        </w:tc>
      </w:tr>
    </w:tbl>
    <w:p w:rsidR="00683B4B" w:rsidRPr="004337BD" w:rsidRDefault="00683B4B" w:rsidP="00683B4B">
      <w:pPr>
        <w:spacing w:line="360" w:lineRule="auto"/>
        <w:jc w:val="both"/>
        <w:rPr>
          <w:rFonts w:ascii="Garamond" w:hAnsi="Garamond"/>
          <w:sz w:val="14"/>
          <w:szCs w:val="26"/>
        </w:rPr>
      </w:pPr>
    </w:p>
    <w:p w:rsidR="00886B49" w:rsidRPr="004337BD" w:rsidRDefault="004337BD" w:rsidP="00683B4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4337BD">
        <w:rPr>
          <w:rFonts w:ascii="Garamond" w:hAnsi="Garamond"/>
          <w:b/>
          <w:sz w:val="26"/>
          <w:szCs w:val="26"/>
        </w:rPr>
        <w:t>Commendable Practices:</w:t>
      </w:r>
    </w:p>
    <w:p w:rsidR="0069372C" w:rsidRPr="00683B4B" w:rsidRDefault="0069372C" w:rsidP="00683B4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 xml:space="preserve">IRS </w:t>
      </w:r>
      <w:r w:rsidR="00EC26DD" w:rsidRPr="00683B4B">
        <w:rPr>
          <w:rFonts w:ascii="Garamond" w:hAnsi="Garamond"/>
          <w:sz w:val="26"/>
          <w:szCs w:val="26"/>
        </w:rPr>
        <w:t>b</w:t>
      </w:r>
      <w:r w:rsidRPr="00683B4B">
        <w:rPr>
          <w:rFonts w:ascii="Garamond" w:hAnsi="Garamond"/>
          <w:sz w:val="26"/>
          <w:szCs w:val="26"/>
        </w:rPr>
        <w:t>ud</w:t>
      </w:r>
      <w:r w:rsidR="00832396" w:rsidRPr="00683B4B">
        <w:rPr>
          <w:rFonts w:ascii="Garamond" w:hAnsi="Garamond"/>
          <w:sz w:val="26"/>
          <w:szCs w:val="26"/>
        </w:rPr>
        <w:t xml:space="preserve">get release is reliable and </w:t>
      </w:r>
      <w:r w:rsidR="00842836" w:rsidRPr="00683B4B">
        <w:rPr>
          <w:rFonts w:ascii="Garamond" w:hAnsi="Garamond"/>
          <w:sz w:val="26"/>
          <w:szCs w:val="26"/>
        </w:rPr>
        <w:t>performance-based</w:t>
      </w:r>
    </w:p>
    <w:p w:rsidR="00D72D40" w:rsidRPr="00683B4B" w:rsidRDefault="00D72D40" w:rsidP="00683B4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>Streamlined procedures and simplified tax forms are implemented</w:t>
      </w:r>
    </w:p>
    <w:p w:rsidR="00D72D40" w:rsidRPr="00683B4B" w:rsidRDefault="00D72D40" w:rsidP="00683B4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 xml:space="preserve">Sokoto </w:t>
      </w:r>
      <w:r w:rsidR="00842836" w:rsidRPr="00683B4B">
        <w:rPr>
          <w:rFonts w:ascii="Garamond" w:hAnsi="Garamond"/>
          <w:sz w:val="26"/>
          <w:szCs w:val="26"/>
        </w:rPr>
        <w:t xml:space="preserve">State </w:t>
      </w:r>
      <w:r w:rsidRPr="00683B4B">
        <w:rPr>
          <w:rFonts w:ascii="Garamond" w:hAnsi="Garamond"/>
          <w:sz w:val="26"/>
          <w:szCs w:val="26"/>
        </w:rPr>
        <w:t xml:space="preserve">has sufficient number </w:t>
      </w:r>
      <w:r w:rsidR="00842836" w:rsidRPr="00683B4B">
        <w:rPr>
          <w:rFonts w:ascii="Garamond" w:hAnsi="Garamond"/>
          <w:sz w:val="26"/>
          <w:szCs w:val="26"/>
        </w:rPr>
        <w:t>of</w:t>
      </w:r>
      <w:r w:rsidR="001812E2" w:rsidRPr="00683B4B">
        <w:rPr>
          <w:rFonts w:ascii="Garamond" w:hAnsi="Garamond"/>
          <w:sz w:val="26"/>
          <w:szCs w:val="26"/>
        </w:rPr>
        <w:t xml:space="preserve"> trained tax auditors</w:t>
      </w:r>
    </w:p>
    <w:p w:rsidR="00A15CA3" w:rsidRPr="00683B4B" w:rsidRDefault="00842836" w:rsidP="00683B4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>It has also</w:t>
      </w:r>
      <w:r w:rsidR="00A15CA3" w:rsidRPr="00683B4B">
        <w:rPr>
          <w:rFonts w:ascii="Garamond" w:hAnsi="Garamond"/>
          <w:sz w:val="26"/>
          <w:szCs w:val="26"/>
        </w:rPr>
        <w:t xml:space="preserve"> passed</w:t>
      </w:r>
      <w:r w:rsidRPr="00683B4B">
        <w:rPr>
          <w:rFonts w:ascii="Garamond" w:hAnsi="Garamond"/>
          <w:sz w:val="26"/>
          <w:szCs w:val="26"/>
        </w:rPr>
        <w:t xml:space="preserve"> a </w:t>
      </w:r>
      <w:r w:rsidR="00BC1E95" w:rsidRPr="00683B4B">
        <w:rPr>
          <w:rFonts w:ascii="Garamond" w:hAnsi="Garamond"/>
          <w:sz w:val="26"/>
          <w:szCs w:val="26"/>
        </w:rPr>
        <w:t xml:space="preserve">Bill </w:t>
      </w:r>
      <w:r w:rsidRPr="00683B4B">
        <w:rPr>
          <w:rFonts w:ascii="Garamond" w:hAnsi="Garamond"/>
          <w:sz w:val="26"/>
          <w:szCs w:val="26"/>
        </w:rPr>
        <w:t>into law that ensures ef</w:t>
      </w:r>
      <w:r w:rsidR="00A15CA3" w:rsidRPr="00683B4B">
        <w:rPr>
          <w:rFonts w:ascii="Garamond" w:hAnsi="Garamond"/>
          <w:sz w:val="26"/>
          <w:szCs w:val="26"/>
        </w:rPr>
        <w:t>fective reduc</w:t>
      </w:r>
      <w:r w:rsidRPr="00683B4B">
        <w:rPr>
          <w:rFonts w:ascii="Garamond" w:hAnsi="Garamond"/>
          <w:sz w:val="26"/>
          <w:szCs w:val="26"/>
        </w:rPr>
        <w:t>tion in leakages and corrupt practices</w:t>
      </w:r>
      <w:r w:rsidR="00A15CA3" w:rsidRPr="00683B4B">
        <w:rPr>
          <w:rFonts w:ascii="Garamond" w:hAnsi="Garamond"/>
          <w:sz w:val="26"/>
          <w:szCs w:val="26"/>
        </w:rPr>
        <w:t xml:space="preserve"> through increasing </w:t>
      </w:r>
      <w:r w:rsidR="001812E2" w:rsidRPr="00683B4B">
        <w:rPr>
          <w:rFonts w:ascii="Garamond" w:hAnsi="Garamond"/>
          <w:sz w:val="26"/>
          <w:szCs w:val="26"/>
        </w:rPr>
        <w:t>transparency and sanctions – though yet to take effect</w:t>
      </w:r>
    </w:p>
    <w:p w:rsidR="00A15CA3" w:rsidRPr="00683B4B" w:rsidRDefault="00A15CA3" w:rsidP="00683B4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>Property and consumption tax law is approved and implemented</w:t>
      </w:r>
    </w:p>
    <w:p w:rsidR="00A15CA3" w:rsidRPr="00683B4B" w:rsidRDefault="00C34CCD" w:rsidP="00683B4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>Informal sector businesses are being identified for tax payment purposes</w:t>
      </w:r>
    </w:p>
    <w:p w:rsidR="0069372C" w:rsidRPr="00683B4B" w:rsidRDefault="0069372C" w:rsidP="00683B4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lastRenderedPageBreak/>
        <w:t xml:space="preserve">Double taxation at the </w:t>
      </w:r>
      <w:r w:rsidR="001812E2" w:rsidRPr="00683B4B">
        <w:rPr>
          <w:rFonts w:ascii="Garamond" w:hAnsi="Garamond"/>
          <w:sz w:val="26"/>
          <w:szCs w:val="26"/>
        </w:rPr>
        <w:t xml:space="preserve">State </w:t>
      </w:r>
      <w:r w:rsidRPr="00683B4B">
        <w:rPr>
          <w:rFonts w:ascii="Garamond" w:hAnsi="Garamond"/>
          <w:sz w:val="26"/>
          <w:szCs w:val="26"/>
        </w:rPr>
        <w:t>and local lev</w:t>
      </w:r>
      <w:r w:rsidR="009F5BB0" w:rsidRPr="00683B4B">
        <w:rPr>
          <w:rFonts w:ascii="Garamond" w:hAnsi="Garamond"/>
          <w:sz w:val="26"/>
          <w:szCs w:val="26"/>
        </w:rPr>
        <w:t xml:space="preserve">els </w:t>
      </w:r>
      <w:r w:rsidR="00496141">
        <w:rPr>
          <w:rFonts w:ascii="Garamond" w:hAnsi="Garamond"/>
          <w:sz w:val="26"/>
          <w:szCs w:val="26"/>
        </w:rPr>
        <w:t>has been largely</w:t>
      </w:r>
      <w:r w:rsidR="009F5BB0" w:rsidRPr="00683B4B">
        <w:rPr>
          <w:rFonts w:ascii="Garamond" w:hAnsi="Garamond"/>
          <w:sz w:val="26"/>
          <w:szCs w:val="26"/>
        </w:rPr>
        <w:t xml:space="preserve"> eliminated, with </w:t>
      </w:r>
      <w:r w:rsidR="00496141">
        <w:rPr>
          <w:rFonts w:ascii="Garamond" w:hAnsi="Garamond"/>
          <w:sz w:val="26"/>
          <w:szCs w:val="26"/>
        </w:rPr>
        <w:t>little</w:t>
      </w:r>
      <w:r w:rsidR="004670B2" w:rsidRPr="00683B4B">
        <w:rPr>
          <w:rFonts w:ascii="Garamond" w:hAnsi="Garamond"/>
          <w:sz w:val="26"/>
          <w:szCs w:val="26"/>
        </w:rPr>
        <w:t xml:space="preserve"> u</w:t>
      </w:r>
      <w:r w:rsidRPr="00683B4B">
        <w:rPr>
          <w:rFonts w:ascii="Garamond" w:hAnsi="Garamond"/>
          <w:sz w:val="26"/>
          <w:szCs w:val="26"/>
        </w:rPr>
        <w:t xml:space="preserve">surpation of </w:t>
      </w:r>
      <w:r w:rsidR="001812E2" w:rsidRPr="00683B4B">
        <w:rPr>
          <w:rFonts w:ascii="Garamond" w:hAnsi="Garamond"/>
          <w:sz w:val="26"/>
          <w:szCs w:val="26"/>
        </w:rPr>
        <w:t xml:space="preserve">the </w:t>
      </w:r>
      <w:r w:rsidRPr="00683B4B">
        <w:rPr>
          <w:rFonts w:ascii="Garamond" w:hAnsi="Garamond"/>
          <w:sz w:val="26"/>
          <w:szCs w:val="26"/>
        </w:rPr>
        <w:t xml:space="preserve">taxing authority of LGAs by </w:t>
      </w:r>
      <w:r w:rsidR="009F5BB0" w:rsidRPr="00683B4B">
        <w:rPr>
          <w:rFonts w:ascii="Garamond" w:hAnsi="Garamond"/>
          <w:sz w:val="26"/>
          <w:szCs w:val="26"/>
        </w:rPr>
        <w:t xml:space="preserve">State </w:t>
      </w:r>
      <w:r w:rsidRPr="00683B4B">
        <w:rPr>
          <w:rFonts w:ascii="Garamond" w:hAnsi="Garamond"/>
          <w:sz w:val="26"/>
          <w:szCs w:val="26"/>
        </w:rPr>
        <w:t>governments</w:t>
      </w:r>
      <w:r w:rsidR="008A3798" w:rsidRPr="00683B4B">
        <w:rPr>
          <w:rFonts w:ascii="Garamond" w:hAnsi="Garamond"/>
          <w:sz w:val="26"/>
          <w:szCs w:val="26"/>
        </w:rPr>
        <w:t>.</w:t>
      </w:r>
    </w:p>
    <w:p w:rsidR="001458C6" w:rsidRPr="00496141" w:rsidRDefault="001458C6" w:rsidP="00683B4B">
      <w:pPr>
        <w:pStyle w:val="ListParagraph"/>
        <w:spacing w:line="360" w:lineRule="auto"/>
        <w:jc w:val="both"/>
        <w:rPr>
          <w:rFonts w:ascii="Garamond" w:hAnsi="Garamond"/>
          <w:sz w:val="12"/>
          <w:szCs w:val="26"/>
        </w:rPr>
      </w:pPr>
    </w:p>
    <w:p w:rsidR="00886B49" w:rsidRPr="00683B4B" w:rsidRDefault="00BC1E95" w:rsidP="00683B4B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b/>
          <w:sz w:val="26"/>
          <w:szCs w:val="26"/>
        </w:rPr>
        <w:t>Major challenges that have hindered growth in IGR:</w:t>
      </w:r>
    </w:p>
    <w:p w:rsidR="00A15CA3" w:rsidRPr="00683B4B" w:rsidRDefault="00A15CA3" w:rsidP="00683B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>No incentive for staff o</w:t>
      </w:r>
      <w:r w:rsidR="00BC1E95" w:rsidRPr="00683B4B">
        <w:rPr>
          <w:rFonts w:ascii="Garamond" w:hAnsi="Garamond"/>
          <w:sz w:val="26"/>
          <w:szCs w:val="26"/>
        </w:rPr>
        <w:t>ther than civil service salary. Most staff</w:t>
      </w:r>
      <w:r w:rsidRPr="00683B4B">
        <w:rPr>
          <w:rFonts w:ascii="Garamond" w:hAnsi="Garamond"/>
          <w:sz w:val="26"/>
          <w:szCs w:val="26"/>
        </w:rPr>
        <w:t xml:space="preserve"> </w:t>
      </w:r>
      <w:r w:rsidR="00BC1E95" w:rsidRPr="00683B4B">
        <w:rPr>
          <w:rFonts w:ascii="Garamond" w:hAnsi="Garamond"/>
          <w:sz w:val="26"/>
          <w:szCs w:val="26"/>
        </w:rPr>
        <w:t>also</w:t>
      </w:r>
      <w:r w:rsidRPr="00683B4B">
        <w:rPr>
          <w:rFonts w:ascii="Garamond" w:hAnsi="Garamond"/>
          <w:sz w:val="26"/>
          <w:szCs w:val="26"/>
        </w:rPr>
        <w:t xml:space="preserve"> lack technical skills and training</w:t>
      </w:r>
    </w:p>
    <w:p w:rsidR="00CF3CB2" w:rsidRPr="00683B4B" w:rsidRDefault="001812E2" w:rsidP="00683B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>It also adopts</w:t>
      </w:r>
      <w:r w:rsidR="00CF3CB2" w:rsidRPr="00683B4B">
        <w:rPr>
          <w:rFonts w:ascii="Garamond" w:hAnsi="Garamond"/>
          <w:sz w:val="26"/>
          <w:szCs w:val="26"/>
        </w:rPr>
        <w:t xml:space="preserve"> manual method</w:t>
      </w:r>
      <w:r w:rsidR="00BC1E95" w:rsidRPr="00683B4B">
        <w:rPr>
          <w:rFonts w:ascii="Garamond" w:hAnsi="Garamond"/>
          <w:sz w:val="26"/>
          <w:szCs w:val="26"/>
        </w:rPr>
        <w:t>s of processing t</w:t>
      </w:r>
      <w:r w:rsidR="00CF3CB2" w:rsidRPr="00683B4B">
        <w:rPr>
          <w:rFonts w:ascii="Garamond" w:hAnsi="Garamond"/>
          <w:sz w:val="26"/>
          <w:szCs w:val="26"/>
        </w:rPr>
        <w:t>ax forms</w:t>
      </w:r>
      <w:r w:rsidR="00BC1E95" w:rsidRPr="00683B4B">
        <w:rPr>
          <w:rFonts w:ascii="Garamond" w:hAnsi="Garamond"/>
          <w:sz w:val="26"/>
          <w:szCs w:val="26"/>
        </w:rPr>
        <w:t xml:space="preserve"> and payments</w:t>
      </w:r>
    </w:p>
    <w:p w:rsidR="00CF3CB2" w:rsidRPr="00683B4B" w:rsidRDefault="00BC1E95" w:rsidP="00683B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>The State</w:t>
      </w:r>
      <w:r w:rsidR="00CF3CB2" w:rsidRPr="00683B4B">
        <w:rPr>
          <w:rFonts w:ascii="Garamond" w:hAnsi="Garamond"/>
          <w:sz w:val="26"/>
          <w:szCs w:val="26"/>
        </w:rPr>
        <w:t xml:space="preserve"> uses an ad</w:t>
      </w:r>
      <w:r w:rsidRPr="00683B4B">
        <w:rPr>
          <w:rFonts w:ascii="Garamond" w:hAnsi="Garamond"/>
          <w:sz w:val="26"/>
          <w:szCs w:val="26"/>
        </w:rPr>
        <w:t xml:space="preserve"> hoc application of user</w:t>
      </w:r>
      <w:r w:rsidR="00CF3CB2" w:rsidRPr="00683B4B">
        <w:rPr>
          <w:rFonts w:ascii="Garamond" w:hAnsi="Garamond"/>
          <w:sz w:val="26"/>
          <w:szCs w:val="26"/>
        </w:rPr>
        <w:t xml:space="preserve"> fee</w:t>
      </w:r>
      <w:r w:rsidRPr="00683B4B">
        <w:rPr>
          <w:rFonts w:ascii="Garamond" w:hAnsi="Garamond"/>
          <w:sz w:val="26"/>
          <w:szCs w:val="26"/>
        </w:rPr>
        <w:t>s</w:t>
      </w:r>
      <w:r w:rsidR="00CF3CB2" w:rsidRPr="00683B4B">
        <w:rPr>
          <w:rFonts w:ascii="Garamond" w:hAnsi="Garamond"/>
          <w:sz w:val="26"/>
          <w:szCs w:val="26"/>
        </w:rPr>
        <w:t xml:space="preserve"> for sanitation, transport, and education utilities.</w:t>
      </w:r>
    </w:p>
    <w:p w:rsidR="0068094E" w:rsidRPr="00683B4B" w:rsidRDefault="0068094E" w:rsidP="00683B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>Some degree of leakages and corruption still exist</w:t>
      </w:r>
    </w:p>
    <w:p w:rsidR="00CF3CB2" w:rsidRPr="00683B4B" w:rsidRDefault="00CF3CB2" w:rsidP="00683B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>Insufficient c</w:t>
      </w:r>
      <w:r w:rsidR="00BC1E95" w:rsidRPr="00683B4B">
        <w:rPr>
          <w:rFonts w:ascii="Garamond" w:hAnsi="Garamond"/>
          <w:sz w:val="26"/>
          <w:szCs w:val="26"/>
        </w:rPr>
        <w:t>overage of the district offices</w:t>
      </w:r>
    </w:p>
    <w:p w:rsidR="001812E2" w:rsidRPr="00683B4B" w:rsidRDefault="00CF3CB2" w:rsidP="00683B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 xml:space="preserve">TIN is introduced but not effective and unified. </w:t>
      </w:r>
    </w:p>
    <w:p w:rsidR="00B94BD1" w:rsidRPr="00683B4B" w:rsidRDefault="00CF3CB2" w:rsidP="00683B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 xml:space="preserve">Fragmented taxpayer database, thus making </w:t>
      </w:r>
      <w:r w:rsidR="00BC1E95" w:rsidRPr="00683B4B">
        <w:rPr>
          <w:rFonts w:ascii="Garamond" w:hAnsi="Garamond"/>
          <w:sz w:val="26"/>
          <w:szCs w:val="26"/>
        </w:rPr>
        <w:t xml:space="preserve">it </w:t>
      </w:r>
      <w:r w:rsidRPr="00683B4B">
        <w:rPr>
          <w:rFonts w:ascii="Garamond" w:hAnsi="Garamond"/>
          <w:sz w:val="26"/>
          <w:szCs w:val="26"/>
        </w:rPr>
        <w:t>difficult to use for planned tax collection</w:t>
      </w:r>
      <w:r w:rsidR="00B94BD1" w:rsidRPr="00683B4B">
        <w:rPr>
          <w:rFonts w:ascii="Garamond" w:hAnsi="Garamond"/>
          <w:sz w:val="26"/>
          <w:szCs w:val="26"/>
        </w:rPr>
        <w:t>.</w:t>
      </w:r>
    </w:p>
    <w:p w:rsidR="00FB1497" w:rsidRPr="00683B4B" w:rsidRDefault="005C2C2D" w:rsidP="00683B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683B4B">
        <w:rPr>
          <w:rFonts w:ascii="Garamond" w:hAnsi="Garamond"/>
          <w:sz w:val="26"/>
          <w:szCs w:val="26"/>
        </w:rPr>
        <w:t>N</w:t>
      </w:r>
      <w:r w:rsidR="007C4A63" w:rsidRPr="00683B4B">
        <w:rPr>
          <w:rFonts w:ascii="Garamond" w:hAnsi="Garamond"/>
          <w:sz w:val="26"/>
          <w:szCs w:val="26"/>
        </w:rPr>
        <w:t>o clear debt management policy or process.</w:t>
      </w:r>
    </w:p>
    <w:p w:rsidR="001812E2" w:rsidRPr="004337BD" w:rsidRDefault="001812E2" w:rsidP="00683B4B">
      <w:pPr>
        <w:pStyle w:val="ListParagraph"/>
        <w:spacing w:line="360" w:lineRule="auto"/>
        <w:jc w:val="both"/>
        <w:rPr>
          <w:rFonts w:ascii="Garamond" w:hAnsi="Garamond"/>
          <w:sz w:val="8"/>
          <w:szCs w:val="26"/>
        </w:rPr>
      </w:pPr>
    </w:p>
    <w:p w:rsidR="0068094E" w:rsidRPr="00683B4B" w:rsidRDefault="004337BD" w:rsidP="004337BD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713"/>
        <w:gridCol w:w="2825"/>
        <w:gridCol w:w="2873"/>
        <w:gridCol w:w="1427"/>
        <w:gridCol w:w="2232"/>
      </w:tblGrid>
      <w:tr w:rsidR="004701F2" w:rsidRPr="00683B4B" w:rsidTr="004337BD">
        <w:tc>
          <w:tcPr>
            <w:tcW w:w="698" w:type="dxa"/>
            <w:shd w:val="pct5" w:color="auto" w:fill="auto"/>
          </w:tcPr>
          <w:p w:rsidR="004701F2" w:rsidRPr="00683B4B" w:rsidRDefault="006D6658" w:rsidP="004337B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683B4B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2830" w:type="dxa"/>
            <w:shd w:val="pct5" w:color="auto" w:fill="auto"/>
          </w:tcPr>
          <w:p w:rsidR="004701F2" w:rsidRPr="00683B4B" w:rsidRDefault="006D6658" w:rsidP="004337B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683B4B">
              <w:rPr>
                <w:rFonts w:ascii="Garamond" w:hAnsi="Garamond"/>
                <w:b/>
                <w:sz w:val="26"/>
                <w:szCs w:val="26"/>
              </w:rPr>
              <w:t>Identified goals</w:t>
            </w:r>
          </w:p>
        </w:tc>
        <w:tc>
          <w:tcPr>
            <w:tcW w:w="2880" w:type="dxa"/>
            <w:shd w:val="pct5" w:color="auto" w:fill="auto"/>
          </w:tcPr>
          <w:p w:rsidR="004701F2" w:rsidRPr="00683B4B" w:rsidRDefault="006D6658" w:rsidP="004337B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683B4B">
              <w:rPr>
                <w:rFonts w:ascii="Garamond" w:hAnsi="Garamond"/>
                <w:b/>
                <w:sz w:val="26"/>
                <w:szCs w:val="26"/>
              </w:rPr>
              <w:t>Reforms required</w:t>
            </w:r>
          </w:p>
        </w:tc>
        <w:tc>
          <w:tcPr>
            <w:tcW w:w="1428" w:type="dxa"/>
            <w:shd w:val="pct5" w:color="auto" w:fill="auto"/>
          </w:tcPr>
          <w:p w:rsidR="004701F2" w:rsidRPr="00683B4B" w:rsidRDefault="006D6658" w:rsidP="004337B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683B4B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234" w:type="dxa"/>
            <w:shd w:val="pct5" w:color="auto" w:fill="auto"/>
          </w:tcPr>
          <w:p w:rsidR="004701F2" w:rsidRPr="00683B4B" w:rsidRDefault="006D6658" w:rsidP="004337B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683B4B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4701F2" w:rsidRPr="00683B4B" w:rsidTr="005C2C2D">
        <w:tc>
          <w:tcPr>
            <w:tcW w:w="698" w:type="dxa"/>
          </w:tcPr>
          <w:p w:rsidR="004701F2" w:rsidRPr="00683B4B" w:rsidRDefault="004701F2" w:rsidP="004337B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2830" w:type="dxa"/>
          </w:tcPr>
          <w:p w:rsidR="004701F2" w:rsidRPr="00683B4B" w:rsidRDefault="004701F2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>To adopt an integrated tax processing system of administration both for assessment and collection of tax</w:t>
            </w:r>
            <w:r w:rsidR="005C2C2D" w:rsidRPr="00683B4B">
              <w:rPr>
                <w:rFonts w:ascii="Garamond" w:hAnsi="Garamond"/>
                <w:sz w:val="26"/>
                <w:szCs w:val="26"/>
              </w:rPr>
              <w:t>es</w:t>
            </w:r>
          </w:p>
        </w:tc>
        <w:tc>
          <w:tcPr>
            <w:tcW w:w="2880" w:type="dxa"/>
          </w:tcPr>
          <w:p w:rsidR="004701F2" w:rsidRPr="00683B4B" w:rsidRDefault="004701F2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 xml:space="preserve">Full automation of the </w:t>
            </w:r>
            <w:r w:rsidR="005C2C2D" w:rsidRPr="00683B4B">
              <w:rPr>
                <w:rFonts w:ascii="Garamond" w:hAnsi="Garamond"/>
                <w:sz w:val="26"/>
                <w:szCs w:val="26"/>
              </w:rPr>
              <w:t xml:space="preserve">Board </w:t>
            </w:r>
            <w:r w:rsidRPr="00683B4B">
              <w:rPr>
                <w:rFonts w:ascii="Garamond" w:hAnsi="Garamond"/>
                <w:sz w:val="26"/>
                <w:szCs w:val="26"/>
              </w:rPr>
              <w:t xml:space="preserve">of </w:t>
            </w:r>
            <w:r w:rsidR="005C2C2D" w:rsidRPr="00683B4B">
              <w:rPr>
                <w:rFonts w:ascii="Garamond" w:hAnsi="Garamond"/>
                <w:sz w:val="26"/>
                <w:szCs w:val="26"/>
              </w:rPr>
              <w:t xml:space="preserve">Internal Revenue </w:t>
            </w:r>
            <w:r w:rsidRPr="00683B4B">
              <w:rPr>
                <w:rFonts w:ascii="Garamond" w:hAnsi="Garamond"/>
                <w:sz w:val="26"/>
                <w:szCs w:val="26"/>
              </w:rPr>
              <w:t>(BIR)</w:t>
            </w:r>
          </w:p>
        </w:tc>
        <w:tc>
          <w:tcPr>
            <w:tcW w:w="1428" w:type="dxa"/>
          </w:tcPr>
          <w:p w:rsidR="004701F2" w:rsidRPr="00683B4B" w:rsidRDefault="004701F2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 xml:space="preserve">Six months – </w:t>
            </w:r>
            <w:r w:rsidR="005C2C2D" w:rsidRPr="00683B4B">
              <w:rPr>
                <w:rFonts w:ascii="Garamond" w:hAnsi="Garamond"/>
                <w:sz w:val="26"/>
                <w:szCs w:val="26"/>
              </w:rPr>
              <w:t xml:space="preserve">May </w:t>
            </w:r>
            <w:r w:rsidRPr="00683B4B">
              <w:rPr>
                <w:rFonts w:ascii="Garamond" w:hAnsi="Garamond"/>
                <w:sz w:val="26"/>
                <w:szCs w:val="26"/>
              </w:rPr>
              <w:t>2016</w:t>
            </w:r>
          </w:p>
        </w:tc>
        <w:tc>
          <w:tcPr>
            <w:tcW w:w="2234" w:type="dxa"/>
          </w:tcPr>
          <w:p w:rsidR="004701F2" w:rsidRPr="00683B4B" w:rsidRDefault="004701F2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 xml:space="preserve">Sokoto </w:t>
            </w:r>
            <w:r w:rsidR="005C2C2D" w:rsidRPr="00683B4B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683B4B">
              <w:rPr>
                <w:rFonts w:ascii="Garamond" w:hAnsi="Garamond"/>
                <w:sz w:val="26"/>
                <w:szCs w:val="26"/>
              </w:rPr>
              <w:t>government</w:t>
            </w:r>
          </w:p>
        </w:tc>
      </w:tr>
      <w:tr w:rsidR="004701F2" w:rsidRPr="00683B4B" w:rsidTr="005C2C2D">
        <w:tc>
          <w:tcPr>
            <w:tcW w:w="698" w:type="dxa"/>
          </w:tcPr>
          <w:p w:rsidR="004701F2" w:rsidRPr="00683B4B" w:rsidRDefault="004701F2" w:rsidP="004337B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830" w:type="dxa"/>
          </w:tcPr>
          <w:p w:rsidR="004701F2" w:rsidRPr="00683B4B" w:rsidRDefault="004701F2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>Blocking all revenue leakages</w:t>
            </w:r>
          </w:p>
        </w:tc>
        <w:tc>
          <w:tcPr>
            <w:tcW w:w="2880" w:type="dxa"/>
          </w:tcPr>
          <w:p w:rsidR="004701F2" w:rsidRPr="00683B4B" w:rsidRDefault="004701F2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>Use of POS terminals</w:t>
            </w:r>
          </w:p>
          <w:p w:rsidR="004701F2" w:rsidRPr="00683B4B" w:rsidRDefault="001812E2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 xml:space="preserve">automation </w:t>
            </w:r>
            <w:r w:rsidR="00174E5F" w:rsidRPr="00683B4B">
              <w:rPr>
                <w:rFonts w:ascii="Garamond" w:hAnsi="Garamond"/>
                <w:sz w:val="26"/>
                <w:szCs w:val="26"/>
              </w:rPr>
              <w:t>and</w:t>
            </w:r>
          </w:p>
          <w:p w:rsidR="004701F2" w:rsidRPr="00683B4B" w:rsidRDefault="00174E5F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 xml:space="preserve">frequent </w:t>
            </w:r>
            <w:r w:rsidR="004820AC" w:rsidRPr="00683B4B">
              <w:rPr>
                <w:rFonts w:ascii="Garamond" w:hAnsi="Garamond"/>
                <w:sz w:val="26"/>
                <w:szCs w:val="26"/>
              </w:rPr>
              <w:t>monitoring and audit</w:t>
            </w:r>
          </w:p>
        </w:tc>
        <w:tc>
          <w:tcPr>
            <w:tcW w:w="1428" w:type="dxa"/>
          </w:tcPr>
          <w:p w:rsidR="004701F2" w:rsidRPr="00683B4B" w:rsidRDefault="004820AC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>Immediate</w:t>
            </w:r>
          </w:p>
        </w:tc>
        <w:tc>
          <w:tcPr>
            <w:tcW w:w="2234" w:type="dxa"/>
          </w:tcPr>
          <w:p w:rsidR="004701F2" w:rsidRPr="00683B4B" w:rsidRDefault="004820AC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 xml:space="preserve">Board of </w:t>
            </w:r>
            <w:r w:rsidR="00174E5F" w:rsidRPr="00683B4B">
              <w:rPr>
                <w:rFonts w:ascii="Garamond" w:hAnsi="Garamond"/>
                <w:sz w:val="26"/>
                <w:szCs w:val="26"/>
              </w:rPr>
              <w:t>Internal Revenue</w:t>
            </w:r>
          </w:p>
        </w:tc>
      </w:tr>
      <w:tr w:rsidR="004820AC" w:rsidRPr="00683B4B" w:rsidTr="005C2C2D">
        <w:tc>
          <w:tcPr>
            <w:tcW w:w="698" w:type="dxa"/>
          </w:tcPr>
          <w:p w:rsidR="004820AC" w:rsidRPr="00683B4B" w:rsidRDefault="004820AC" w:rsidP="004337B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830" w:type="dxa"/>
          </w:tcPr>
          <w:p w:rsidR="004820AC" w:rsidRPr="00683B4B" w:rsidRDefault="004820AC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>Autonomy of the board</w:t>
            </w:r>
          </w:p>
        </w:tc>
        <w:tc>
          <w:tcPr>
            <w:tcW w:w="2880" w:type="dxa"/>
          </w:tcPr>
          <w:p w:rsidR="004820AC" w:rsidRPr="00683B4B" w:rsidRDefault="004820AC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>Granting of cost of collection</w:t>
            </w:r>
          </w:p>
        </w:tc>
        <w:tc>
          <w:tcPr>
            <w:tcW w:w="1428" w:type="dxa"/>
          </w:tcPr>
          <w:p w:rsidR="004820AC" w:rsidRPr="00683B4B" w:rsidRDefault="004820AC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>One year</w:t>
            </w:r>
          </w:p>
        </w:tc>
        <w:tc>
          <w:tcPr>
            <w:tcW w:w="2234" w:type="dxa"/>
          </w:tcPr>
          <w:p w:rsidR="004820AC" w:rsidRPr="00683B4B" w:rsidRDefault="004820AC" w:rsidP="004337B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683B4B">
              <w:rPr>
                <w:rFonts w:ascii="Garamond" w:hAnsi="Garamond"/>
                <w:sz w:val="26"/>
                <w:szCs w:val="26"/>
              </w:rPr>
              <w:t xml:space="preserve">Sokoto </w:t>
            </w:r>
            <w:r w:rsidR="00174E5F" w:rsidRPr="00683B4B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683B4B">
              <w:rPr>
                <w:rFonts w:ascii="Garamond" w:hAnsi="Garamond"/>
                <w:sz w:val="26"/>
                <w:szCs w:val="26"/>
              </w:rPr>
              <w:t>government/ ministry of finance</w:t>
            </w:r>
          </w:p>
        </w:tc>
      </w:tr>
    </w:tbl>
    <w:p w:rsidR="004701F2" w:rsidRPr="00683B4B" w:rsidRDefault="004701F2" w:rsidP="00683B4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4701F2" w:rsidRPr="00683B4B" w:rsidSect="004337BD">
      <w:footerReference w:type="default" r:id="rId9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B0" w:rsidRDefault="007611B0" w:rsidP="004820AC">
      <w:pPr>
        <w:spacing w:after="0" w:line="240" w:lineRule="auto"/>
      </w:pPr>
      <w:r>
        <w:separator/>
      </w:r>
    </w:p>
  </w:endnote>
  <w:endnote w:type="continuationSeparator" w:id="0">
    <w:p w:rsidR="007611B0" w:rsidRDefault="007611B0" w:rsidP="0048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72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820AC" w:rsidRPr="004337BD" w:rsidRDefault="004337BD" w:rsidP="004337BD">
            <w:pPr>
              <w:pStyle w:val="Footer"/>
              <w:jc w:val="right"/>
              <w:rPr>
                <w:rFonts w:ascii="Garamond" w:hAnsi="Garamond"/>
              </w:rPr>
            </w:pPr>
            <w:r w:rsidRPr="004337BD">
              <w:rPr>
                <w:rFonts w:ascii="Garamond" w:hAnsi="Garamond"/>
              </w:rPr>
              <w:t xml:space="preserve">Page </w:t>
            </w:r>
            <w:r w:rsidRPr="004337BD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4337BD">
              <w:rPr>
                <w:rFonts w:ascii="Garamond" w:hAnsi="Garamond"/>
              </w:rPr>
              <w:instrText xml:space="preserve"> PAGE </w:instrText>
            </w:r>
            <w:r w:rsidRPr="004337B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02CE">
              <w:rPr>
                <w:rFonts w:ascii="Garamond" w:hAnsi="Garamond"/>
                <w:noProof/>
              </w:rPr>
              <w:t>1</w:t>
            </w:r>
            <w:r w:rsidRPr="004337BD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4337BD">
              <w:rPr>
                <w:rFonts w:ascii="Garamond" w:hAnsi="Garamond"/>
              </w:rPr>
              <w:t xml:space="preserve"> of </w:t>
            </w:r>
            <w:r w:rsidRPr="004337BD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4337BD">
              <w:rPr>
                <w:rFonts w:ascii="Garamond" w:hAnsi="Garamond"/>
              </w:rPr>
              <w:instrText xml:space="preserve"> NUMPAGES  </w:instrText>
            </w:r>
            <w:r w:rsidRPr="004337B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02CE">
              <w:rPr>
                <w:rFonts w:ascii="Garamond" w:hAnsi="Garamond"/>
                <w:noProof/>
              </w:rPr>
              <w:t>2</w:t>
            </w:r>
            <w:r w:rsidRPr="004337B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B0" w:rsidRDefault="007611B0" w:rsidP="004820AC">
      <w:pPr>
        <w:spacing w:after="0" w:line="240" w:lineRule="auto"/>
      </w:pPr>
      <w:r>
        <w:separator/>
      </w:r>
    </w:p>
  </w:footnote>
  <w:footnote w:type="continuationSeparator" w:id="0">
    <w:p w:rsidR="007611B0" w:rsidRDefault="007611B0" w:rsidP="0048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A7A"/>
    <w:multiLevelType w:val="hybridMultilevel"/>
    <w:tmpl w:val="1D92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B10A7"/>
    <w:multiLevelType w:val="hybridMultilevel"/>
    <w:tmpl w:val="F7FC4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101B5"/>
    <w:multiLevelType w:val="hybridMultilevel"/>
    <w:tmpl w:val="6888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21BE"/>
    <w:multiLevelType w:val="hybridMultilevel"/>
    <w:tmpl w:val="63FAD4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5291"/>
    <w:multiLevelType w:val="hybridMultilevel"/>
    <w:tmpl w:val="7C9A8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735A4"/>
    <w:multiLevelType w:val="hybridMultilevel"/>
    <w:tmpl w:val="18C48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20807"/>
    <w:rsid w:val="000B2103"/>
    <w:rsid w:val="00141CB2"/>
    <w:rsid w:val="001458C6"/>
    <w:rsid w:val="00173D79"/>
    <w:rsid w:val="00174E5F"/>
    <w:rsid w:val="001812E2"/>
    <w:rsid w:val="001E2223"/>
    <w:rsid w:val="002026F6"/>
    <w:rsid w:val="00277A0F"/>
    <w:rsid w:val="003937A0"/>
    <w:rsid w:val="003A783B"/>
    <w:rsid w:val="003F36FD"/>
    <w:rsid w:val="004337BD"/>
    <w:rsid w:val="00456BD8"/>
    <w:rsid w:val="004670B2"/>
    <w:rsid w:val="004701F2"/>
    <w:rsid w:val="004820AC"/>
    <w:rsid w:val="00496141"/>
    <w:rsid w:val="00553934"/>
    <w:rsid w:val="00570DC4"/>
    <w:rsid w:val="005C02CE"/>
    <w:rsid w:val="005C2C2D"/>
    <w:rsid w:val="00651017"/>
    <w:rsid w:val="0065127E"/>
    <w:rsid w:val="0068094E"/>
    <w:rsid w:val="00683B4B"/>
    <w:rsid w:val="0069372C"/>
    <w:rsid w:val="006D6658"/>
    <w:rsid w:val="006D7436"/>
    <w:rsid w:val="006F34FA"/>
    <w:rsid w:val="007611B0"/>
    <w:rsid w:val="007C4A63"/>
    <w:rsid w:val="007E69AB"/>
    <w:rsid w:val="007F0D5D"/>
    <w:rsid w:val="00832396"/>
    <w:rsid w:val="008331E3"/>
    <w:rsid w:val="00842836"/>
    <w:rsid w:val="00851C63"/>
    <w:rsid w:val="00886B49"/>
    <w:rsid w:val="008A3798"/>
    <w:rsid w:val="008B3E89"/>
    <w:rsid w:val="008C7EE1"/>
    <w:rsid w:val="00924E74"/>
    <w:rsid w:val="009A6A6E"/>
    <w:rsid w:val="009F5BB0"/>
    <w:rsid w:val="00A15CA3"/>
    <w:rsid w:val="00A271CD"/>
    <w:rsid w:val="00A324D9"/>
    <w:rsid w:val="00A5015B"/>
    <w:rsid w:val="00A5263E"/>
    <w:rsid w:val="00A5393E"/>
    <w:rsid w:val="00A67013"/>
    <w:rsid w:val="00A94CE5"/>
    <w:rsid w:val="00B046C1"/>
    <w:rsid w:val="00B86148"/>
    <w:rsid w:val="00B94BD1"/>
    <w:rsid w:val="00BC1E95"/>
    <w:rsid w:val="00BE3AA0"/>
    <w:rsid w:val="00C03B50"/>
    <w:rsid w:val="00C23D85"/>
    <w:rsid w:val="00C34CCD"/>
    <w:rsid w:val="00C57799"/>
    <w:rsid w:val="00CF3CB2"/>
    <w:rsid w:val="00D22A10"/>
    <w:rsid w:val="00D248BA"/>
    <w:rsid w:val="00D327FD"/>
    <w:rsid w:val="00D32EA8"/>
    <w:rsid w:val="00D72D40"/>
    <w:rsid w:val="00DC5B84"/>
    <w:rsid w:val="00DE0DCF"/>
    <w:rsid w:val="00E17ABD"/>
    <w:rsid w:val="00EC26DD"/>
    <w:rsid w:val="00EC3A2D"/>
    <w:rsid w:val="00F41676"/>
    <w:rsid w:val="00F4214F"/>
    <w:rsid w:val="00F6042C"/>
    <w:rsid w:val="00FB1497"/>
    <w:rsid w:val="00FC06A7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47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0AC"/>
  </w:style>
  <w:style w:type="paragraph" w:styleId="Footer">
    <w:name w:val="footer"/>
    <w:basedOn w:val="Normal"/>
    <w:link w:val="FooterChar"/>
    <w:uiPriority w:val="99"/>
    <w:unhideWhenUsed/>
    <w:rsid w:val="0048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47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0AC"/>
  </w:style>
  <w:style w:type="paragraph" w:styleId="Footer">
    <w:name w:val="footer"/>
    <w:basedOn w:val="Normal"/>
    <w:link w:val="FooterChar"/>
    <w:uiPriority w:val="99"/>
    <w:unhideWhenUsed/>
    <w:rsid w:val="0048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Chioma</cp:lastModifiedBy>
  <cp:revision>2</cp:revision>
  <dcterms:created xsi:type="dcterms:W3CDTF">2016-02-17T09:32:00Z</dcterms:created>
  <dcterms:modified xsi:type="dcterms:W3CDTF">2016-02-17T09:32:00Z</dcterms:modified>
</cp:coreProperties>
</file>