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05" w:rsidRPr="00AB274D" w:rsidRDefault="003A6F05" w:rsidP="003A6F05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bookmarkStart w:id="0" w:name="_GoBack"/>
      <w:bookmarkEnd w:id="0"/>
      <w:r w:rsidRPr="00AB274D"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5050" cy="1162050"/>
            <wp:effectExtent l="19050" t="0" r="0" b="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05" w:rsidRPr="00AB274D" w:rsidRDefault="003A6F05" w:rsidP="003A6F05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AB274D">
        <w:rPr>
          <w:rFonts w:ascii="Garamond" w:hAnsi="Garamond"/>
          <w:b/>
          <w:sz w:val="28"/>
          <w:szCs w:val="28"/>
        </w:rPr>
        <w:t>STATE-SPECIFIC RECOMMENDATIONS</w:t>
      </w:r>
    </w:p>
    <w:p w:rsidR="003A6F05" w:rsidRPr="00AB274D" w:rsidRDefault="003A6F05" w:rsidP="003A6F05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16"/>
          <w:szCs w:val="26"/>
        </w:rPr>
      </w:pPr>
    </w:p>
    <w:p w:rsidR="003A6F05" w:rsidRDefault="003A6F05" w:rsidP="003A6F05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AB274D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Nasarawa</w:t>
      </w:r>
      <w:proofErr w:type="spellEnd"/>
      <w:r w:rsidRPr="00AB274D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3A6F05" w:rsidRPr="003A6F05" w:rsidRDefault="003A6F05" w:rsidP="003A6F05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18"/>
          <w:szCs w:val="28"/>
          <w:u w:val="single"/>
        </w:rPr>
      </w:pPr>
    </w:p>
    <w:p w:rsidR="00275638" w:rsidRPr="003A6F05" w:rsidRDefault="001D6F5B" w:rsidP="003A6F05">
      <w:pPr>
        <w:spacing w:line="360" w:lineRule="auto"/>
        <w:jc w:val="both"/>
        <w:rPr>
          <w:rFonts w:ascii="Garamond" w:hAnsi="Garamond"/>
          <w:sz w:val="26"/>
          <w:szCs w:val="26"/>
        </w:rPr>
      </w:pPr>
      <w:proofErr w:type="spellStart"/>
      <w:r w:rsidRPr="003A6F05">
        <w:rPr>
          <w:rFonts w:ascii="Garamond" w:hAnsi="Garamond"/>
          <w:sz w:val="26"/>
          <w:szCs w:val="26"/>
        </w:rPr>
        <w:t>Nasarawa</w:t>
      </w:r>
      <w:proofErr w:type="spellEnd"/>
      <w:r w:rsidRPr="003A6F05">
        <w:rPr>
          <w:rFonts w:ascii="Garamond" w:hAnsi="Garamond"/>
          <w:sz w:val="26"/>
          <w:szCs w:val="26"/>
        </w:rPr>
        <w:t xml:space="preserve"> State’s IGR </w:t>
      </w:r>
      <w:r w:rsidR="003A6F05">
        <w:rPr>
          <w:rFonts w:ascii="Garamond" w:hAnsi="Garamond"/>
          <w:sz w:val="26"/>
          <w:szCs w:val="26"/>
        </w:rPr>
        <w:t>rose</w:t>
      </w:r>
      <w:r w:rsidRPr="003A6F05">
        <w:rPr>
          <w:rFonts w:ascii="Garamond" w:hAnsi="Garamond"/>
          <w:sz w:val="26"/>
          <w:szCs w:val="26"/>
        </w:rPr>
        <w:t xml:space="preserve"> from N1.9 billion in 2010 to </w:t>
      </w:r>
      <w:r w:rsidR="00275638" w:rsidRPr="003A6F05">
        <w:rPr>
          <w:rFonts w:ascii="Garamond" w:hAnsi="Garamond"/>
          <w:sz w:val="26"/>
          <w:szCs w:val="26"/>
        </w:rPr>
        <w:t>N</w:t>
      </w:r>
      <w:r w:rsidRPr="003A6F05">
        <w:rPr>
          <w:rFonts w:ascii="Garamond" w:hAnsi="Garamond"/>
          <w:sz w:val="26"/>
          <w:szCs w:val="26"/>
        </w:rPr>
        <w:t xml:space="preserve">4.1 billion in 2014, </w:t>
      </w:r>
      <w:r w:rsidR="003A6F05">
        <w:rPr>
          <w:rFonts w:ascii="Garamond" w:hAnsi="Garamond"/>
          <w:sz w:val="26"/>
          <w:szCs w:val="26"/>
        </w:rPr>
        <w:t>recording</w:t>
      </w:r>
      <w:r w:rsidRPr="003A6F05">
        <w:rPr>
          <w:rFonts w:ascii="Garamond" w:hAnsi="Garamond"/>
          <w:sz w:val="26"/>
          <w:szCs w:val="26"/>
        </w:rPr>
        <w:t xml:space="preserve"> an impressive 22% growth rate. </w:t>
      </w:r>
      <w:r w:rsidR="003A6F05">
        <w:rPr>
          <w:rFonts w:ascii="Garamond" w:hAnsi="Garamond"/>
          <w:sz w:val="26"/>
          <w:szCs w:val="26"/>
        </w:rPr>
        <w:t>Its</w:t>
      </w:r>
      <w:r w:rsidRPr="003A6F05">
        <w:rPr>
          <w:rFonts w:ascii="Garamond" w:hAnsi="Garamond"/>
          <w:sz w:val="26"/>
          <w:szCs w:val="26"/>
        </w:rPr>
        <w:t xml:space="preserve"> performance has however remained poor</w:t>
      </w:r>
      <w:r w:rsidR="00F67F13" w:rsidRPr="003A6F05">
        <w:rPr>
          <w:rFonts w:ascii="Garamond" w:hAnsi="Garamond"/>
          <w:sz w:val="26"/>
          <w:szCs w:val="26"/>
        </w:rPr>
        <w:t xml:space="preserve"> despite its close proximity to the Federal Capital Territory and the </w:t>
      </w:r>
      <w:r w:rsidR="003A6F05" w:rsidRPr="003A6F05">
        <w:rPr>
          <w:rFonts w:ascii="Garamond" w:hAnsi="Garamond"/>
          <w:sz w:val="26"/>
          <w:szCs w:val="26"/>
        </w:rPr>
        <w:t>large quantity</w:t>
      </w:r>
      <w:r w:rsidR="00F67F13" w:rsidRPr="003A6F05">
        <w:rPr>
          <w:rFonts w:ascii="Garamond" w:hAnsi="Garamond"/>
          <w:sz w:val="26"/>
          <w:szCs w:val="26"/>
        </w:rPr>
        <w:t xml:space="preserve"> of mineral resources</w:t>
      </w:r>
      <w:r w:rsidR="003A6F05">
        <w:rPr>
          <w:rFonts w:ascii="Garamond" w:hAnsi="Garamond"/>
          <w:sz w:val="26"/>
          <w:szCs w:val="26"/>
        </w:rPr>
        <w:t xml:space="preserve"> in the State</w:t>
      </w:r>
      <w:r w:rsidRPr="003A6F05">
        <w:rPr>
          <w:rFonts w:ascii="Garamond" w:hAnsi="Garamond"/>
          <w:sz w:val="26"/>
          <w:szCs w:val="26"/>
        </w:rPr>
        <w:t>.</w:t>
      </w:r>
      <w:r w:rsidR="003A6F05">
        <w:rPr>
          <w:rFonts w:ascii="Garamond" w:hAnsi="Garamond"/>
          <w:sz w:val="26"/>
          <w:szCs w:val="26"/>
        </w:rPr>
        <w:t xml:space="preserve"> The State’s IGR in 2014 was only 8% of its recurrent revenue</w:t>
      </w:r>
      <w:r w:rsidR="00300AF1">
        <w:rPr>
          <w:rFonts w:ascii="Garamond" w:hAnsi="Garamond"/>
          <w:sz w:val="26"/>
          <w:szCs w:val="26"/>
        </w:rPr>
        <w:t>,</w:t>
      </w:r>
      <w:r w:rsidR="003A6F05">
        <w:rPr>
          <w:rFonts w:ascii="Garamond" w:hAnsi="Garamond"/>
          <w:sz w:val="26"/>
          <w:szCs w:val="26"/>
        </w:rPr>
        <w:t xml:space="preserve"> at an average of N340 million monthly, </w:t>
      </w:r>
      <w:r w:rsidR="00300AF1">
        <w:rPr>
          <w:rFonts w:ascii="Garamond" w:hAnsi="Garamond"/>
          <w:sz w:val="26"/>
          <w:szCs w:val="26"/>
        </w:rPr>
        <w:t xml:space="preserve">around </w:t>
      </w:r>
      <w:r w:rsidR="003A6F05">
        <w:rPr>
          <w:rFonts w:ascii="Garamond" w:hAnsi="Garamond"/>
          <w:sz w:val="26"/>
          <w:szCs w:val="26"/>
        </w:rPr>
        <w:t xml:space="preserve">3 times less than N1 billion </w:t>
      </w:r>
      <w:r w:rsidR="00300AF1">
        <w:rPr>
          <w:rFonts w:ascii="Garamond" w:hAnsi="Garamond"/>
          <w:sz w:val="26"/>
          <w:szCs w:val="26"/>
        </w:rPr>
        <w:t xml:space="preserve">generated </w:t>
      </w:r>
      <w:r w:rsidR="003A6F05">
        <w:rPr>
          <w:rFonts w:ascii="Garamond" w:hAnsi="Garamond"/>
          <w:sz w:val="26"/>
          <w:szCs w:val="26"/>
        </w:rPr>
        <w:t xml:space="preserve">in </w:t>
      </w:r>
      <w:proofErr w:type="spellStart"/>
      <w:r w:rsidR="003A6F05">
        <w:rPr>
          <w:rFonts w:ascii="Garamond" w:hAnsi="Garamond"/>
          <w:sz w:val="26"/>
          <w:szCs w:val="26"/>
        </w:rPr>
        <w:t>Kwara</w:t>
      </w:r>
      <w:proofErr w:type="spellEnd"/>
      <w:r w:rsidR="003A6F05">
        <w:rPr>
          <w:rFonts w:ascii="Garamond" w:hAnsi="Garamond"/>
          <w:sz w:val="26"/>
          <w:szCs w:val="26"/>
        </w:rPr>
        <w:t xml:space="preserve"> State.</w:t>
      </w:r>
    </w:p>
    <w:p w:rsidR="001D6F5B" w:rsidRDefault="001D6F5B" w:rsidP="003A6F05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3A6F05">
        <w:rPr>
          <w:rFonts w:ascii="Garamond" w:hAnsi="Garamond"/>
          <w:sz w:val="26"/>
          <w:szCs w:val="26"/>
        </w:rPr>
        <w:t>The proportion of the</w:t>
      </w:r>
      <w:r w:rsidR="00275638" w:rsidRPr="003A6F05">
        <w:rPr>
          <w:rFonts w:ascii="Garamond" w:hAnsi="Garamond"/>
          <w:sz w:val="26"/>
          <w:szCs w:val="26"/>
        </w:rPr>
        <w:t xml:space="preserve"> State’s</w:t>
      </w:r>
      <w:r w:rsidRPr="003A6F05">
        <w:rPr>
          <w:rFonts w:ascii="Garamond" w:hAnsi="Garamond"/>
          <w:sz w:val="26"/>
          <w:szCs w:val="26"/>
        </w:rPr>
        <w:t xml:space="preserve"> taxable</w:t>
      </w:r>
      <w:r w:rsidR="00F67F13" w:rsidRPr="003A6F05">
        <w:rPr>
          <w:rFonts w:ascii="Garamond" w:hAnsi="Garamond"/>
          <w:sz w:val="26"/>
          <w:szCs w:val="26"/>
        </w:rPr>
        <w:t xml:space="preserve"> population who pay tax is 40%</w:t>
      </w:r>
      <w:r w:rsidR="00042C88" w:rsidRPr="003A6F05">
        <w:rPr>
          <w:rFonts w:ascii="Garamond" w:hAnsi="Garamond"/>
          <w:sz w:val="26"/>
          <w:szCs w:val="26"/>
        </w:rPr>
        <w:t xml:space="preserve"> – </w:t>
      </w:r>
      <w:r w:rsidR="00F67F13" w:rsidRPr="003A6F05">
        <w:rPr>
          <w:rFonts w:ascii="Garamond" w:hAnsi="Garamond"/>
          <w:sz w:val="26"/>
          <w:szCs w:val="26"/>
        </w:rPr>
        <w:t xml:space="preserve">made up of civil servants </w:t>
      </w:r>
      <w:r w:rsidR="00042C88" w:rsidRPr="003A6F05">
        <w:rPr>
          <w:rFonts w:ascii="Garamond" w:hAnsi="Garamond"/>
          <w:sz w:val="26"/>
          <w:szCs w:val="26"/>
        </w:rPr>
        <w:t>(</w:t>
      </w:r>
      <w:r w:rsidR="00F67F13" w:rsidRPr="003A6F05">
        <w:rPr>
          <w:rFonts w:ascii="Garamond" w:hAnsi="Garamond"/>
          <w:sz w:val="26"/>
          <w:szCs w:val="26"/>
        </w:rPr>
        <w:t>70%</w:t>
      </w:r>
      <w:r w:rsidR="00042C88" w:rsidRPr="003A6F05">
        <w:rPr>
          <w:rFonts w:ascii="Garamond" w:hAnsi="Garamond"/>
          <w:sz w:val="26"/>
          <w:szCs w:val="26"/>
        </w:rPr>
        <w:t>)</w:t>
      </w:r>
      <w:r w:rsidR="00F67F13" w:rsidRPr="003A6F05">
        <w:rPr>
          <w:rFonts w:ascii="Garamond" w:hAnsi="Garamond"/>
          <w:sz w:val="26"/>
          <w:szCs w:val="26"/>
        </w:rPr>
        <w:t xml:space="preserve">, formal private sector </w:t>
      </w:r>
      <w:r w:rsidR="00042C88" w:rsidRPr="003A6F05">
        <w:rPr>
          <w:rFonts w:ascii="Garamond" w:hAnsi="Garamond"/>
          <w:sz w:val="26"/>
          <w:szCs w:val="26"/>
        </w:rPr>
        <w:t>(</w:t>
      </w:r>
      <w:r w:rsidR="00F67F13" w:rsidRPr="003A6F05">
        <w:rPr>
          <w:rFonts w:ascii="Garamond" w:hAnsi="Garamond"/>
          <w:sz w:val="26"/>
          <w:szCs w:val="26"/>
        </w:rPr>
        <w:t>20%</w:t>
      </w:r>
      <w:r w:rsidR="00042C88" w:rsidRPr="003A6F05">
        <w:rPr>
          <w:rFonts w:ascii="Garamond" w:hAnsi="Garamond"/>
          <w:sz w:val="26"/>
          <w:szCs w:val="26"/>
        </w:rPr>
        <w:t>),</w:t>
      </w:r>
      <w:r w:rsidR="00F67F13" w:rsidRPr="003A6F05">
        <w:rPr>
          <w:rFonts w:ascii="Garamond" w:hAnsi="Garamond"/>
          <w:sz w:val="26"/>
          <w:szCs w:val="26"/>
        </w:rPr>
        <w:t xml:space="preserve"> </w:t>
      </w:r>
      <w:r w:rsidR="00300AF1">
        <w:rPr>
          <w:rFonts w:ascii="Garamond" w:hAnsi="Garamond"/>
          <w:sz w:val="26"/>
          <w:szCs w:val="26"/>
        </w:rPr>
        <w:t>and</w:t>
      </w:r>
      <w:r w:rsidR="00F67F13" w:rsidRPr="003A6F05">
        <w:rPr>
          <w:rFonts w:ascii="Garamond" w:hAnsi="Garamond"/>
          <w:sz w:val="26"/>
          <w:szCs w:val="26"/>
        </w:rPr>
        <w:t xml:space="preserve"> the informal private sector </w:t>
      </w:r>
      <w:r w:rsidRPr="003A6F05">
        <w:rPr>
          <w:rFonts w:ascii="Garamond" w:hAnsi="Garamond"/>
          <w:sz w:val="26"/>
          <w:szCs w:val="26"/>
        </w:rPr>
        <w:t>10%.</w:t>
      </w:r>
    </w:p>
    <w:p w:rsidR="003A6F05" w:rsidRPr="00300AF1" w:rsidRDefault="003A6F05" w:rsidP="003A6F05">
      <w:pPr>
        <w:pStyle w:val="ListParagraph"/>
        <w:spacing w:before="240" w:after="0"/>
        <w:ind w:left="0"/>
        <w:jc w:val="both"/>
        <w:rPr>
          <w:rFonts w:ascii="Garamond" w:hAnsi="Garamond"/>
          <w:sz w:val="8"/>
          <w:szCs w:val="26"/>
        </w:rPr>
      </w:pPr>
    </w:p>
    <w:p w:rsidR="003A6F05" w:rsidRPr="00460294" w:rsidRDefault="003A6F05" w:rsidP="003A6F05">
      <w:pPr>
        <w:jc w:val="center"/>
        <w:rPr>
          <w:rFonts w:ascii="Garamond" w:hAnsi="Garamond"/>
          <w:b/>
          <w:sz w:val="26"/>
          <w:szCs w:val="26"/>
        </w:rPr>
      </w:pPr>
      <w:r w:rsidRPr="00460294">
        <w:rPr>
          <w:rFonts w:ascii="Garamond" w:hAnsi="Garamond"/>
          <w:b/>
          <w:sz w:val="26"/>
          <w:szCs w:val="26"/>
        </w:rPr>
        <w:t>IGR SNAPSHOT IN THE NORTH CENTRAL ZONE (2014)</w:t>
      </w:r>
    </w:p>
    <w:tbl>
      <w:tblPr>
        <w:tblW w:w="10626" w:type="dxa"/>
        <w:jc w:val="center"/>
        <w:tblInd w:w="91" w:type="dxa"/>
        <w:tblLook w:val="04A0" w:firstRow="1" w:lastRow="0" w:firstColumn="1" w:lastColumn="0" w:noHBand="0" w:noVBand="1"/>
      </w:tblPr>
      <w:tblGrid>
        <w:gridCol w:w="737"/>
        <w:gridCol w:w="1529"/>
        <w:gridCol w:w="1776"/>
        <w:gridCol w:w="1889"/>
        <w:gridCol w:w="1281"/>
        <w:gridCol w:w="2177"/>
        <w:gridCol w:w="1237"/>
      </w:tblGrid>
      <w:tr w:rsidR="003A6F05" w:rsidRPr="00460294" w:rsidTr="009B6196">
        <w:trPr>
          <w:trHeight w:val="900"/>
          <w:jc w:val="center"/>
        </w:trPr>
        <w:tc>
          <w:tcPr>
            <w:tcW w:w="737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3A6F05" w:rsidRPr="00460294" w:rsidRDefault="003A6F05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52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3A6F05" w:rsidRPr="00460294" w:rsidRDefault="003A6F05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77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3A6F05" w:rsidRPr="00460294" w:rsidRDefault="003A6F05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188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3A6F05" w:rsidRPr="00460294" w:rsidRDefault="003A6F05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(N)</w:t>
            </w:r>
          </w:p>
        </w:tc>
        <w:tc>
          <w:tcPr>
            <w:tcW w:w="128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3A6F05" w:rsidRPr="00460294" w:rsidRDefault="003A6F05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217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3A6F05" w:rsidRPr="00460294" w:rsidRDefault="003A6F05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3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3A6F05" w:rsidRPr="00460294" w:rsidRDefault="003A6F05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3A6F05" w:rsidRPr="00460294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bookmarkStart w:id="1" w:name="OLE_LINK1" w:colFirst="1" w:colLast="1"/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KWARA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1,038,376,496.21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12,460,517,954.55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14.3%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21.7%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4,158.55 </w:t>
            </w:r>
          </w:p>
        </w:tc>
      </w:tr>
      <w:tr w:rsidR="003A6F05" w:rsidRPr="00DC0C1C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DC0C1C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DC0C1C" w:rsidRDefault="003A6F05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BENUE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DC0C1C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690,368,763.39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DC0C1C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8,284,425,160.72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DC0C1C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>4.8%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DC0C1C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>12.6%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DC0C1C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    1,537.46 </w:t>
            </w:r>
          </w:p>
        </w:tc>
      </w:tr>
      <w:tr w:rsidR="003A6F05" w:rsidRPr="00460294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PLATEAU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690,368,763.33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8,284,425,159.92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24.9%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13.4%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2,087.68 </w:t>
            </w:r>
          </w:p>
        </w:tc>
      </w:tr>
      <w:tr w:rsidR="003A6F05" w:rsidRPr="003A6F05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3A6F05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3A6F05" w:rsidRDefault="003A6F05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>KOGI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3A6F05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 xml:space="preserve">547,494,054.46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3A6F05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 xml:space="preserve">6,569,928,653.47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3A6F05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>31.2%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3A6F05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>10.5%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3A6F05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sz w:val="24"/>
                <w:szCs w:val="24"/>
              </w:rPr>
              <w:t xml:space="preserve">    1,564.97 </w:t>
            </w:r>
          </w:p>
        </w:tc>
      </w:tr>
      <w:tr w:rsidR="003A6F05" w:rsidRPr="00460294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NIGER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478,098,752.99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5,737,185,035.88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15.2%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8.7%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460294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1,110.23 </w:t>
            </w:r>
          </w:p>
        </w:tc>
      </w:tr>
      <w:tr w:rsidR="003A6F05" w:rsidRPr="003A6F05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3A6F05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3A6F05" w:rsidRDefault="003A6F05" w:rsidP="009B6196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NASARAWA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3A6F05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340,427,298.81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3A6F05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4,085,127,585.70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3A6F05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color w:val="FF0000"/>
                <w:sz w:val="24"/>
                <w:szCs w:val="24"/>
              </w:rPr>
              <w:t>21.9%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3A6F05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color w:val="FF0000"/>
                <w:sz w:val="24"/>
                <w:szCs w:val="24"/>
              </w:rPr>
              <w:t>8.0%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A6F05" w:rsidRPr="003A6F05" w:rsidRDefault="003A6F05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3A6F05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   1,725.09 </w:t>
            </w:r>
          </w:p>
        </w:tc>
      </w:tr>
      <w:bookmarkEnd w:id="1"/>
    </w:tbl>
    <w:p w:rsidR="003A6F05" w:rsidRPr="003A6F05" w:rsidRDefault="003A6F05" w:rsidP="003A6F05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1D6F5B" w:rsidRPr="003A6F05" w:rsidRDefault="001D6F5B" w:rsidP="00300AF1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3A6F05">
        <w:rPr>
          <w:rFonts w:ascii="Garamond" w:hAnsi="Garamond"/>
          <w:b/>
          <w:sz w:val="26"/>
          <w:szCs w:val="26"/>
        </w:rPr>
        <w:t xml:space="preserve">Major </w:t>
      </w:r>
      <w:r w:rsidR="00300AF1">
        <w:rPr>
          <w:rFonts w:ascii="Garamond" w:hAnsi="Garamond"/>
          <w:b/>
          <w:sz w:val="26"/>
          <w:szCs w:val="26"/>
        </w:rPr>
        <w:t>Challenges:</w:t>
      </w:r>
    </w:p>
    <w:p w:rsidR="001D6F5B" w:rsidRPr="003A6F05" w:rsidRDefault="001D6F5B" w:rsidP="00300AF1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3A6F05">
        <w:rPr>
          <w:rFonts w:ascii="Garamond" w:hAnsi="Garamond"/>
          <w:sz w:val="26"/>
          <w:szCs w:val="26"/>
        </w:rPr>
        <w:t>Non-compliance with Governor’s directive by revenue-collecting MDAs</w:t>
      </w:r>
    </w:p>
    <w:p w:rsidR="001D6F5B" w:rsidRPr="003A6F05" w:rsidRDefault="001D6F5B" w:rsidP="00300AF1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3A6F05">
        <w:rPr>
          <w:rFonts w:ascii="Garamond" w:hAnsi="Garamond"/>
          <w:sz w:val="26"/>
          <w:szCs w:val="26"/>
        </w:rPr>
        <w:t xml:space="preserve">Non implementation and enforcement of </w:t>
      </w:r>
      <w:r w:rsidR="00F67F13" w:rsidRPr="003A6F05">
        <w:rPr>
          <w:rFonts w:ascii="Garamond" w:hAnsi="Garamond"/>
          <w:sz w:val="26"/>
          <w:szCs w:val="26"/>
        </w:rPr>
        <w:t xml:space="preserve">the </w:t>
      </w:r>
      <w:r w:rsidRPr="003A6F05">
        <w:rPr>
          <w:rFonts w:ascii="Garamond" w:hAnsi="Garamond"/>
          <w:sz w:val="26"/>
          <w:szCs w:val="26"/>
        </w:rPr>
        <w:t>special development levy imposed on the Sta</w:t>
      </w:r>
      <w:r w:rsidR="00F67F13" w:rsidRPr="003A6F05">
        <w:rPr>
          <w:rFonts w:ascii="Garamond" w:hAnsi="Garamond"/>
          <w:sz w:val="26"/>
          <w:szCs w:val="26"/>
        </w:rPr>
        <w:t>te and Local Government council</w:t>
      </w:r>
      <w:r w:rsidR="00300AF1">
        <w:rPr>
          <w:rFonts w:ascii="Garamond" w:hAnsi="Garamond"/>
          <w:sz w:val="26"/>
          <w:szCs w:val="26"/>
        </w:rPr>
        <w:t xml:space="preserve"> employees</w:t>
      </w:r>
    </w:p>
    <w:p w:rsidR="001D6F5B" w:rsidRPr="003A6F05" w:rsidRDefault="001D6F5B" w:rsidP="00300AF1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3A6F05">
        <w:rPr>
          <w:rFonts w:ascii="Garamond" w:hAnsi="Garamond"/>
          <w:sz w:val="26"/>
          <w:szCs w:val="26"/>
        </w:rPr>
        <w:t xml:space="preserve">Inadequate incentives </w:t>
      </w:r>
      <w:r w:rsidR="00F67F13" w:rsidRPr="003A6F05">
        <w:rPr>
          <w:rFonts w:ascii="Garamond" w:hAnsi="Garamond"/>
          <w:sz w:val="26"/>
          <w:szCs w:val="26"/>
        </w:rPr>
        <w:t>(including training) for staff of the IRS</w:t>
      </w:r>
    </w:p>
    <w:p w:rsidR="001D6F5B" w:rsidRPr="003A6F05" w:rsidRDefault="001D6F5B" w:rsidP="00300AF1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3A6F05">
        <w:rPr>
          <w:rFonts w:ascii="Garamond" w:hAnsi="Garamond"/>
          <w:sz w:val="26"/>
          <w:szCs w:val="26"/>
        </w:rPr>
        <w:lastRenderedPageBreak/>
        <w:t xml:space="preserve">Non automation of </w:t>
      </w:r>
      <w:r w:rsidR="00F67F13" w:rsidRPr="003A6F05">
        <w:rPr>
          <w:rFonts w:ascii="Garamond" w:hAnsi="Garamond"/>
          <w:sz w:val="26"/>
          <w:szCs w:val="26"/>
        </w:rPr>
        <w:t xml:space="preserve">tax collection processes, which has resulted to the </w:t>
      </w:r>
      <w:r w:rsidRPr="003A6F05">
        <w:rPr>
          <w:rFonts w:ascii="Garamond" w:hAnsi="Garamond"/>
          <w:sz w:val="26"/>
          <w:szCs w:val="26"/>
        </w:rPr>
        <w:t xml:space="preserve">prevalence of fraudsters who falsify </w:t>
      </w:r>
      <w:r w:rsidR="00F67F13" w:rsidRPr="003A6F05">
        <w:rPr>
          <w:rFonts w:ascii="Garamond" w:hAnsi="Garamond"/>
          <w:sz w:val="26"/>
          <w:szCs w:val="26"/>
        </w:rPr>
        <w:t xml:space="preserve">government contract </w:t>
      </w:r>
      <w:r w:rsidRPr="003A6F05">
        <w:rPr>
          <w:rFonts w:ascii="Garamond" w:hAnsi="Garamond"/>
          <w:sz w:val="26"/>
          <w:szCs w:val="26"/>
        </w:rPr>
        <w:t>papers/</w:t>
      </w:r>
      <w:r w:rsidR="00F67F13" w:rsidRPr="003A6F05">
        <w:rPr>
          <w:rFonts w:ascii="Garamond" w:hAnsi="Garamond"/>
          <w:sz w:val="26"/>
          <w:szCs w:val="26"/>
        </w:rPr>
        <w:t xml:space="preserve">receipts </w:t>
      </w:r>
      <w:r w:rsidRPr="003A6F05">
        <w:rPr>
          <w:rFonts w:ascii="Garamond" w:hAnsi="Garamond"/>
          <w:sz w:val="26"/>
          <w:szCs w:val="26"/>
        </w:rPr>
        <w:t xml:space="preserve">to extort money from unsuspecting members of the public. </w:t>
      </w:r>
    </w:p>
    <w:p w:rsidR="00F67F13" w:rsidRPr="00300AF1" w:rsidRDefault="00F67F13" w:rsidP="00300AF1">
      <w:pPr>
        <w:spacing w:line="276" w:lineRule="auto"/>
        <w:jc w:val="both"/>
        <w:rPr>
          <w:rFonts w:ascii="Garamond" w:hAnsi="Garamond"/>
          <w:sz w:val="6"/>
          <w:szCs w:val="26"/>
        </w:rPr>
      </w:pPr>
    </w:p>
    <w:p w:rsidR="00D50C5A" w:rsidRPr="003A6F05" w:rsidRDefault="00300AF1" w:rsidP="00300AF1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STATE’S ACTION PLAN</w:t>
      </w: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</w:tblPr>
      <w:tblGrid>
        <w:gridCol w:w="712"/>
        <w:gridCol w:w="3008"/>
        <w:gridCol w:w="3136"/>
        <w:gridCol w:w="1589"/>
        <w:gridCol w:w="1869"/>
      </w:tblGrid>
      <w:tr w:rsidR="001D6F5B" w:rsidRPr="003A6F05" w:rsidTr="00300AF1">
        <w:trPr>
          <w:jc w:val="center"/>
        </w:trPr>
        <w:tc>
          <w:tcPr>
            <w:tcW w:w="712" w:type="dxa"/>
            <w:shd w:val="pct5" w:color="auto" w:fill="auto"/>
          </w:tcPr>
          <w:p w:rsidR="001D6F5B" w:rsidRPr="003A6F05" w:rsidRDefault="00300AF1" w:rsidP="00300AF1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3A6F05">
              <w:rPr>
                <w:rFonts w:ascii="Garamond" w:hAnsi="Garamond"/>
                <w:b/>
                <w:sz w:val="26"/>
                <w:szCs w:val="26"/>
              </w:rPr>
              <w:t>S/N</w:t>
            </w:r>
          </w:p>
        </w:tc>
        <w:tc>
          <w:tcPr>
            <w:tcW w:w="3008" w:type="dxa"/>
            <w:shd w:val="pct5" w:color="auto" w:fill="auto"/>
          </w:tcPr>
          <w:p w:rsidR="001D6F5B" w:rsidRPr="003A6F05" w:rsidRDefault="00300AF1" w:rsidP="00300AF1">
            <w:pPr>
              <w:spacing w:line="276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3A6F05">
              <w:rPr>
                <w:rFonts w:ascii="Garamond" w:hAnsi="Garamond"/>
                <w:b/>
                <w:sz w:val="26"/>
                <w:szCs w:val="26"/>
              </w:rPr>
              <w:t>Goals</w:t>
            </w:r>
          </w:p>
        </w:tc>
        <w:tc>
          <w:tcPr>
            <w:tcW w:w="3136" w:type="dxa"/>
            <w:shd w:val="pct5" w:color="auto" w:fill="auto"/>
          </w:tcPr>
          <w:p w:rsidR="001D6F5B" w:rsidRPr="003A6F05" w:rsidRDefault="00300AF1" w:rsidP="00300AF1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3A6F05">
              <w:rPr>
                <w:rFonts w:ascii="Garamond" w:hAnsi="Garamond"/>
                <w:b/>
                <w:sz w:val="26"/>
                <w:szCs w:val="26"/>
              </w:rPr>
              <w:t>Reforms required</w:t>
            </w:r>
          </w:p>
        </w:tc>
        <w:tc>
          <w:tcPr>
            <w:tcW w:w="1589" w:type="dxa"/>
            <w:shd w:val="pct5" w:color="auto" w:fill="auto"/>
          </w:tcPr>
          <w:p w:rsidR="001D6F5B" w:rsidRPr="003A6F05" w:rsidRDefault="00300AF1" w:rsidP="00300AF1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3A6F05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1869" w:type="dxa"/>
            <w:shd w:val="pct5" w:color="auto" w:fill="auto"/>
          </w:tcPr>
          <w:p w:rsidR="001D6F5B" w:rsidRPr="003A6F05" w:rsidRDefault="00300AF1" w:rsidP="00300AF1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3A6F05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1D6F5B" w:rsidRPr="003A6F05" w:rsidTr="00300AF1">
        <w:trPr>
          <w:jc w:val="center"/>
        </w:trPr>
        <w:tc>
          <w:tcPr>
            <w:tcW w:w="712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1.</w:t>
            </w:r>
          </w:p>
        </w:tc>
        <w:tc>
          <w:tcPr>
            <w:tcW w:w="3008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 xml:space="preserve">Granting of both administrative and financial autonomy to the State Internal Revenue Service. This will enable the agency to finance its expenditure, budgets in the areas of ICT, </w:t>
            </w:r>
            <w:r w:rsidR="00F67F13" w:rsidRPr="003A6F05">
              <w:rPr>
                <w:rFonts w:ascii="Garamond" w:hAnsi="Garamond"/>
                <w:sz w:val="26"/>
                <w:szCs w:val="26"/>
              </w:rPr>
              <w:t xml:space="preserve">media </w:t>
            </w:r>
            <w:r w:rsidRPr="003A6F05">
              <w:rPr>
                <w:rFonts w:ascii="Garamond" w:hAnsi="Garamond"/>
                <w:sz w:val="26"/>
                <w:szCs w:val="26"/>
              </w:rPr>
              <w:t xml:space="preserve">campaigns, staff salaries, training, </w:t>
            </w:r>
            <w:proofErr w:type="spellStart"/>
            <w:r w:rsidRPr="003A6F05">
              <w:rPr>
                <w:rFonts w:ascii="Garamond" w:hAnsi="Garamond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3136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An enabling law for both administrative and financial autonomy through an Executive Bill to be sponsored by the Governor</w:t>
            </w:r>
          </w:p>
        </w:tc>
        <w:tc>
          <w:tcPr>
            <w:tcW w:w="1589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Immediately</w:t>
            </w:r>
          </w:p>
        </w:tc>
        <w:tc>
          <w:tcPr>
            <w:tcW w:w="1869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H.E. The Governor of the State</w:t>
            </w:r>
          </w:p>
        </w:tc>
      </w:tr>
      <w:tr w:rsidR="001D6F5B" w:rsidRPr="003A6F05" w:rsidTr="00300AF1">
        <w:trPr>
          <w:jc w:val="center"/>
        </w:trPr>
        <w:tc>
          <w:tcPr>
            <w:tcW w:w="712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2.</w:t>
            </w:r>
          </w:p>
        </w:tc>
        <w:tc>
          <w:tcPr>
            <w:tcW w:w="3008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To capture the untapped informal sector for tax purposes</w:t>
            </w:r>
          </w:p>
        </w:tc>
        <w:tc>
          <w:tcPr>
            <w:tcW w:w="3136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Introduction of the Presumptive Tax Regime through sponsoring of a Bill for legal backing</w:t>
            </w:r>
          </w:p>
        </w:tc>
        <w:tc>
          <w:tcPr>
            <w:tcW w:w="1589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Within 1 (One) Year</w:t>
            </w:r>
          </w:p>
        </w:tc>
        <w:tc>
          <w:tcPr>
            <w:tcW w:w="1869" w:type="dxa"/>
          </w:tcPr>
          <w:p w:rsidR="001D6F5B" w:rsidRPr="003A6F05" w:rsidRDefault="00042C88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The Chairman, S</w:t>
            </w:r>
            <w:r w:rsidR="001D6F5B" w:rsidRPr="003A6F05">
              <w:rPr>
                <w:rFonts w:ascii="Garamond" w:hAnsi="Garamond"/>
                <w:sz w:val="26"/>
                <w:szCs w:val="26"/>
              </w:rPr>
              <w:t>IRS</w:t>
            </w:r>
          </w:p>
        </w:tc>
      </w:tr>
      <w:tr w:rsidR="001D6F5B" w:rsidRPr="003A6F05" w:rsidTr="00300AF1">
        <w:trPr>
          <w:jc w:val="center"/>
        </w:trPr>
        <w:tc>
          <w:tcPr>
            <w:tcW w:w="712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3.</w:t>
            </w:r>
          </w:p>
        </w:tc>
        <w:tc>
          <w:tcPr>
            <w:tcW w:w="3008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All IGRs in the State to be accounted only by the State Internal Revenue Service from one single account</w:t>
            </w:r>
          </w:p>
        </w:tc>
        <w:tc>
          <w:tcPr>
            <w:tcW w:w="3136" w:type="dxa"/>
          </w:tcPr>
          <w:p w:rsidR="001D6F5B" w:rsidRPr="003A6F05" w:rsidRDefault="001D6F5B" w:rsidP="00300AF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55" w:hanging="255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A law compelling all revenue collecting MDAs to remit into a Treasury Single Account (TSA) under the custody of the State IRS.</w:t>
            </w:r>
          </w:p>
          <w:p w:rsidR="001D6F5B" w:rsidRPr="003A6F05" w:rsidRDefault="001D6F5B" w:rsidP="00300AF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55" w:hanging="255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Executive Bill to the State Assembly and Executive policy pronouncement</w:t>
            </w:r>
          </w:p>
        </w:tc>
        <w:tc>
          <w:tcPr>
            <w:tcW w:w="1589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Immediately</w:t>
            </w:r>
          </w:p>
        </w:tc>
        <w:tc>
          <w:tcPr>
            <w:tcW w:w="1869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H.E. The Governor of the State</w:t>
            </w:r>
          </w:p>
        </w:tc>
      </w:tr>
      <w:tr w:rsidR="001D6F5B" w:rsidRPr="003A6F05" w:rsidTr="00300AF1">
        <w:trPr>
          <w:jc w:val="center"/>
        </w:trPr>
        <w:tc>
          <w:tcPr>
            <w:tcW w:w="712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 xml:space="preserve">4. </w:t>
            </w:r>
          </w:p>
        </w:tc>
        <w:tc>
          <w:tcPr>
            <w:tcW w:w="3008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Intensive taxpayers awareness campaign</w:t>
            </w:r>
          </w:p>
        </w:tc>
        <w:tc>
          <w:tcPr>
            <w:tcW w:w="3136" w:type="dxa"/>
          </w:tcPr>
          <w:p w:rsidR="001D6F5B" w:rsidRPr="003A6F05" w:rsidRDefault="001D6F5B" w:rsidP="00300AF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64" w:hanging="264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Adequate funding to finance the process</w:t>
            </w:r>
          </w:p>
          <w:p w:rsidR="001D6F5B" w:rsidRPr="003A6F05" w:rsidRDefault="001D6F5B" w:rsidP="00300AF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64" w:hanging="264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Financial autonomy for the IRS</w:t>
            </w:r>
          </w:p>
        </w:tc>
        <w:tc>
          <w:tcPr>
            <w:tcW w:w="1589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 xml:space="preserve">Immediately </w:t>
            </w:r>
          </w:p>
        </w:tc>
        <w:tc>
          <w:tcPr>
            <w:tcW w:w="1869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H.E. The Governor of the State</w:t>
            </w:r>
          </w:p>
        </w:tc>
      </w:tr>
      <w:tr w:rsidR="001D6F5B" w:rsidRPr="003A6F05" w:rsidTr="00300AF1">
        <w:trPr>
          <w:jc w:val="center"/>
        </w:trPr>
        <w:tc>
          <w:tcPr>
            <w:tcW w:w="712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5.</w:t>
            </w:r>
          </w:p>
        </w:tc>
        <w:tc>
          <w:tcPr>
            <w:tcW w:w="3008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 xml:space="preserve">Explore the </w:t>
            </w:r>
            <w:r w:rsidR="00F67F13" w:rsidRPr="003A6F05">
              <w:rPr>
                <w:rFonts w:ascii="Garamond" w:hAnsi="Garamond"/>
                <w:sz w:val="26"/>
                <w:szCs w:val="26"/>
              </w:rPr>
              <w:t xml:space="preserve">solid minerals </w:t>
            </w:r>
            <w:r w:rsidRPr="003A6F05">
              <w:rPr>
                <w:rFonts w:ascii="Garamond" w:hAnsi="Garamond"/>
                <w:sz w:val="26"/>
                <w:szCs w:val="26"/>
              </w:rPr>
              <w:t xml:space="preserve">sector for </w:t>
            </w:r>
            <w:r w:rsidR="00F67F13" w:rsidRPr="003A6F05">
              <w:rPr>
                <w:rFonts w:ascii="Garamond" w:hAnsi="Garamond"/>
                <w:sz w:val="26"/>
                <w:szCs w:val="26"/>
              </w:rPr>
              <w:t>solid minerals taxation</w:t>
            </w:r>
          </w:p>
        </w:tc>
        <w:tc>
          <w:tcPr>
            <w:tcW w:w="3136" w:type="dxa"/>
          </w:tcPr>
          <w:p w:rsidR="001D6F5B" w:rsidRPr="003A6F05" w:rsidRDefault="001D6F5B" w:rsidP="00300AF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64" w:hanging="264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Collaboration with the Federal Ministry of Solid Minerals- Abuja</w:t>
            </w:r>
          </w:p>
          <w:p w:rsidR="001D6F5B" w:rsidRPr="003A6F05" w:rsidRDefault="001D6F5B" w:rsidP="00300AF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64" w:hanging="264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Sponsor a Bill for legal backing in the State House of Assembly</w:t>
            </w:r>
          </w:p>
        </w:tc>
        <w:tc>
          <w:tcPr>
            <w:tcW w:w="1589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Immediately</w:t>
            </w:r>
          </w:p>
        </w:tc>
        <w:tc>
          <w:tcPr>
            <w:tcW w:w="1869" w:type="dxa"/>
          </w:tcPr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  <w:p w:rsidR="001D6F5B" w:rsidRPr="003A6F05" w:rsidRDefault="001D6F5B" w:rsidP="00300AF1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3A6F05">
              <w:rPr>
                <w:rFonts w:ascii="Garamond" w:hAnsi="Garamond"/>
                <w:sz w:val="26"/>
                <w:szCs w:val="26"/>
              </w:rPr>
              <w:t>The State Governor</w:t>
            </w:r>
          </w:p>
        </w:tc>
      </w:tr>
    </w:tbl>
    <w:p w:rsidR="00D50C5A" w:rsidRPr="003A6F05" w:rsidRDefault="00D50C5A" w:rsidP="00300AF1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sectPr w:rsidR="00D50C5A" w:rsidRPr="003A6F05" w:rsidSect="003A6F05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7C" w:rsidRDefault="00F10E7C" w:rsidP="00483F04">
      <w:pPr>
        <w:spacing w:after="0" w:line="240" w:lineRule="auto"/>
      </w:pPr>
      <w:r>
        <w:separator/>
      </w:r>
    </w:p>
  </w:endnote>
  <w:endnote w:type="continuationSeparator" w:id="0">
    <w:p w:rsidR="00F10E7C" w:rsidRDefault="00F10E7C" w:rsidP="0048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30678655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77121" w:rsidRPr="00300AF1" w:rsidRDefault="00300AF1" w:rsidP="00300AF1">
            <w:pPr>
              <w:pStyle w:val="Footer"/>
              <w:jc w:val="right"/>
              <w:rPr>
                <w:rFonts w:ascii="Garamond" w:hAnsi="Garamond"/>
              </w:rPr>
            </w:pPr>
            <w:r w:rsidRPr="00300AF1">
              <w:rPr>
                <w:rFonts w:ascii="Garamond" w:hAnsi="Garamond"/>
              </w:rPr>
              <w:t xml:space="preserve">Page </w:t>
            </w:r>
            <w:r w:rsidRPr="00300AF1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300AF1">
              <w:rPr>
                <w:rFonts w:ascii="Garamond" w:hAnsi="Garamond"/>
              </w:rPr>
              <w:instrText xml:space="preserve"> PAGE </w:instrText>
            </w:r>
            <w:r w:rsidRPr="00300AF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1F0BA0">
              <w:rPr>
                <w:rFonts w:ascii="Garamond" w:hAnsi="Garamond"/>
                <w:noProof/>
              </w:rPr>
              <w:t>1</w:t>
            </w:r>
            <w:r w:rsidRPr="00300AF1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300AF1">
              <w:rPr>
                <w:rFonts w:ascii="Garamond" w:hAnsi="Garamond"/>
              </w:rPr>
              <w:t xml:space="preserve"> of </w:t>
            </w:r>
            <w:r w:rsidRPr="00300AF1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300AF1">
              <w:rPr>
                <w:rFonts w:ascii="Garamond" w:hAnsi="Garamond"/>
              </w:rPr>
              <w:instrText xml:space="preserve"> NUMPAGES  </w:instrText>
            </w:r>
            <w:r w:rsidRPr="00300AF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1F0BA0">
              <w:rPr>
                <w:rFonts w:ascii="Garamond" w:hAnsi="Garamond"/>
                <w:noProof/>
              </w:rPr>
              <w:t>2</w:t>
            </w:r>
            <w:r w:rsidRPr="00300AF1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7C" w:rsidRDefault="00F10E7C" w:rsidP="00483F04">
      <w:pPr>
        <w:spacing w:after="0" w:line="240" w:lineRule="auto"/>
      </w:pPr>
      <w:r>
        <w:separator/>
      </w:r>
    </w:p>
  </w:footnote>
  <w:footnote w:type="continuationSeparator" w:id="0">
    <w:p w:rsidR="00F10E7C" w:rsidRDefault="00F10E7C" w:rsidP="0048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C08"/>
    <w:multiLevelType w:val="hybridMultilevel"/>
    <w:tmpl w:val="06D6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275F6"/>
    <w:multiLevelType w:val="hybridMultilevel"/>
    <w:tmpl w:val="7D02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9625C"/>
    <w:multiLevelType w:val="hybridMultilevel"/>
    <w:tmpl w:val="81D09E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B4584"/>
    <w:multiLevelType w:val="hybridMultilevel"/>
    <w:tmpl w:val="2BAAA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80C07"/>
    <w:multiLevelType w:val="hybridMultilevel"/>
    <w:tmpl w:val="233E4FCE"/>
    <w:lvl w:ilvl="0" w:tplc="6816A360">
      <w:numFmt w:val="bullet"/>
      <w:lvlText w:val="•"/>
      <w:lvlJc w:val="left"/>
      <w:pPr>
        <w:ind w:left="1080" w:hanging="72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A68F6"/>
    <w:multiLevelType w:val="hybridMultilevel"/>
    <w:tmpl w:val="D88E62B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A7CEC"/>
    <w:multiLevelType w:val="hybridMultilevel"/>
    <w:tmpl w:val="983A73C8"/>
    <w:lvl w:ilvl="0" w:tplc="56E6384E">
      <w:start w:val="1"/>
      <w:numFmt w:val="low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8E514B2"/>
    <w:multiLevelType w:val="hybridMultilevel"/>
    <w:tmpl w:val="EFF0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55D3C"/>
    <w:multiLevelType w:val="hybridMultilevel"/>
    <w:tmpl w:val="0E36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2080C"/>
    <w:multiLevelType w:val="hybridMultilevel"/>
    <w:tmpl w:val="B9B28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39297E"/>
    <w:multiLevelType w:val="hybridMultilevel"/>
    <w:tmpl w:val="44341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7548AB"/>
    <w:multiLevelType w:val="hybridMultilevel"/>
    <w:tmpl w:val="73CA718A"/>
    <w:lvl w:ilvl="0" w:tplc="3326B6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D40A3"/>
    <w:multiLevelType w:val="hybridMultilevel"/>
    <w:tmpl w:val="E38AAC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5D2D7B"/>
    <w:multiLevelType w:val="hybridMultilevel"/>
    <w:tmpl w:val="E2D0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31E91"/>
    <w:multiLevelType w:val="hybridMultilevel"/>
    <w:tmpl w:val="8D707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33577"/>
    <w:multiLevelType w:val="hybridMultilevel"/>
    <w:tmpl w:val="8C087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B8735F"/>
    <w:multiLevelType w:val="hybridMultilevel"/>
    <w:tmpl w:val="B30C4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AB3CAE"/>
    <w:multiLevelType w:val="hybridMultilevel"/>
    <w:tmpl w:val="0D78FBFC"/>
    <w:lvl w:ilvl="0" w:tplc="D14288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00E0F"/>
    <w:multiLevelType w:val="hybridMultilevel"/>
    <w:tmpl w:val="2580109E"/>
    <w:lvl w:ilvl="0" w:tplc="E766BC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144F5"/>
    <w:multiLevelType w:val="hybridMultilevel"/>
    <w:tmpl w:val="3B7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2"/>
  </w:num>
  <w:num w:numId="5">
    <w:abstractNumId w:val="15"/>
  </w:num>
  <w:num w:numId="6">
    <w:abstractNumId w:val="13"/>
  </w:num>
  <w:num w:numId="7">
    <w:abstractNumId w:val="19"/>
  </w:num>
  <w:num w:numId="8">
    <w:abstractNumId w:val="9"/>
  </w:num>
  <w:num w:numId="9">
    <w:abstractNumId w:val="16"/>
  </w:num>
  <w:num w:numId="10">
    <w:abstractNumId w:val="3"/>
  </w:num>
  <w:num w:numId="11">
    <w:abstractNumId w:val="14"/>
  </w:num>
  <w:num w:numId="12">
    <w:abstractNumId w:val="1"/>
  </w:num>
  <w:num w:numId="13">
    <w:abstractNumId w:val="0"/>
  </w:num>
  <w:num w:numId="14">
    <w:abstractNumId w:val="4"/>
  </w:num>
  <w:num w:numId="15">
    <w:abstractNumId w:val="5"/>
  </w:num>
  <w:num w:numId="16">
    <w:abstractNumId w:val="18"/>
  </w:num>
  <w:num w:numId="17">
    <w:abstractNumId w:val="6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CB"/>
    <w:rsid w:val="00042C88"/>
    <w:rsid w:val="00060295"/>
    <w:rsid w:val="00183B58"/>
    <w:rsid w:val="001D6F5B"/>
    <w:rsid w:val="001F0BA0"/>
    <w:rsid w:val="00203A99"/>
    <w:rsid w:val="00275638"/>
    <w:rsid w:val="00292F38"/>
    <w:rsid w:val="002B6226"/>
    <w:rsid w:val="002F0486"/>
    <w:rsid w:val="002F07A6"/>
    <w:rsid w:val="00300AF1"/>
    <w:rsid w:val="00370AAD"/>
    <w:rsid w:val="003A6F05"/>
    <w:rsid w:val="003B22EE"/>
    <w:rsid w:val="00450300"/>
    <w:rsid w:val="0046575A"/>
    <w:rsid w:val="00483F04"/>
    <w:rsid w:val="00493D3F"/>
    <w:rsid w:val="005A320F"/>
    <w:rsid w:val="005F4E99"/>
    <w:rsid w:val="00621E1A"/>
    <w:rsid w:val="0062428B"/>
    <w:rsid w:val="00650927"/>
    <w:rsid w:val="00685573"/>
    <w:rsid w:val="00697A41"/>
    <w:rsid w:val="006F1B37"/>
    <w:rsid w:val="00755861"/>
    <w:rsid w:val="007561E6"/>
    <w:rsid w:val="00786E5B"/>
    <w:rsid w:val="00795914"/>
    <w:rsid w:val="00914756"/>
    <w:rsid w:val="00925F1B"/>
    <w:rsid w:val="0094470F"/>
    <w:rsid w:val="00966B3D"/>
    <w:rsid w:val="009E2574"/>
    <w:rsid w:val="009F6717"/>
    <w:rsid w:val="00A42508"/>
    <w:rsid w:val="00B243FF"/>
    <w:rsid w:val="00B3479F"/>
    <w:rsid w:val="00B65CCB"/>
    <w:rsid w:val="00BB25D3"/>
    <w:rsid w:val="00BD49EC"/>
    <w:rsid w:val="00BD5D29"/>
    <w:rsid w:val="00BE1CE2"/>
    <w:rsid w:val="00C80736"/>
    <w:rsid w:val="00CB7698"/>
    <w:rsid w:val="00D15145"/>
    <w:rsid w:val="00D50C5A"/>
    <w:rsid w:val="00E77121"/>
    <w:rsid w:val="00EE7B70"/>
    <w:rsid w:val="00F10E7C"/>
    <w:rsid w:val="00F67F13"/>
    <w:rsid w:val="00F711CA"/>
    <w:rsid w:val="00F95375"/>
    <w:rsid w:val="00FD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CB"/>
    <w:pPr>
      <w:ind w:left="720"/>
      <w:contextualSpacing/>
    </w:pPr>
  </w:style>
  <w:style w:type="table" w:styleId="TableGrid">
    <w:name w:val="Table Grid"/>
    <w:basedOn w:val="TableNormal"/>
    <w:uiPriority w:val="39"/>
    <w:rsid w:val="00B6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F04"/>
  </w:style>
  <w:style w:type="paragraph" w:styleId="Footer">
    <w:name w:val="footer"/>
    <w:basedOn w:val="Normal"/>
    <w:link w:val="FooterChar"/>
    <w:uiPriority w:val="99"/>
    <w:unhideWhenUsed/>
    <w:rsid w:val="0048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CB"/>
    <w:pPr>
      <w:ind w:left="720"/>
      <w:contextualSpacing/>
    </w:pPr>
  </w:style>
  <w:style w:type="table" w:styleId="TableGrid">
    <w:name w:val="Table Grid"/>
    <w:basedOn w:val="TableNormal"/>
    <w:uiPriority w:val="39"/>
    <w:rsid w:val="00B6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F04"/>
  </w:style>
  <w:style w:type="paragraph" w:styleId="Footer">
    <w:name w:val="footer"/>
    <w:basedOn w:val="Normal"/>
    <w:link w:val="FooterChar"/>
    <w:uiPriority w:val="99"/>
    <w:unhideWhenUsed/>
    <w:rsid w:val="0048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Yakubu Kokwain</dc:creator>
  <cp:lastModifiedBy>Chioma</cp:lastModifiedBy>
  <cp:revision>2</cp:revision>
  <dcterms:created xsi:type="dcterms:W3CDTF">2016-02-17T08:42:00Z</dcterms:created>
  <dcterms:modified xsi:type="dcterms:W3CDTF">2016-02-17T08:42:00Z</dcterms:modified>
</cp:coreProperties>
</file>