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4D" w:rsidRPr="00AB274D" w:rsidRDefault="00AB274D" w:rsidP="00AB274D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bookmarkStart w:id="0" w:name="_GoBack"/>
      <w:bookmarkEnd w:id="0"/>
      <w:r w:rsidRPr="00AB274D">
        <w:rPr>
          <w:rFonts w:ascii="Garamond" w:hAnsi="Garamond"/>
          <w:noProof/>
          <w:color w:val="008080"/>
          <w:kern w:val="32"/>
          <w:sz w:val="26"/>
          <w:szCs w:val="26"/>
          <w:lang w:val="en-US"/>
        </w:rPr>
        <w:drawing>
          <wp:inline distT="0" distB="0" distL="0" distR="0">
            <wp:extent cx="2305050" cy="1162050"/>
            <wp:effectExtent l="1905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74D" w:rsidRPr="00AB274D" w:rsidRDefault="00AB274D" w:rsidP="00AB274D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AB274D">
        <w:rPr>
          <w:rFonts w:ascii="Garamond" w:hAnsi="Garamond"/>
          <w:b/>
          <w:sz w:val="28"/>
          <w:szCs w:val="28"/>
        </w:rPr>
        <w:t>STATE-SPECIFIC RECOMMENDATIONS</w:t>
      </w:r>
    </w:p>
    <w:p w:rsidR="00AB274D" w:rsidRPr="00AB274D" w:rsidRDefault="00AB274D" w:rsidP="00AB274D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16"/>
          <w:szCs w:val="26"/>
        </w:rPr>
      </w:pPr>
    </w:p>
    <w:p w:rsidR="00AB274D" w:rsidRPr="00AB274D" w:rsidRDefault="00AB274D" w:rsidP="00AB274D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B274D">
        <w:rPr>
          <w:rFonts w:ascii="Garamond" w:hAnsi="Garamond"/>
          <w:b/>
          <w:sz w:val="28"/>
          <w:szCs w:val="28"/>
          <w:u w:val="single"/>
        </w:rPr>
        <w:t>Scorecard for Ekiti State</w:t>
      </w:r>
    </w:p>
    <w:p w:rsidR="000B6C9F" w:rsidRDefault="00264022" w:rsidP="00AB274D">
      <w:p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AB274D">
        <w:rPr>
          <w:rFonts w:ascii="Garamond" w:hAnsi="Garamond" w:cs="Times New Roman"/>
          <w:sz w:val="26"/>
          <w:szCs w:val="26"/>
        </w:rPr>
        <w:t xml:space="preserve">Ekiti State </w:t>
      </w:r>
      <w:r w:rsidR="00324BFF" w:rsidRPr="00AB274D">
        <w:rPr>
          <w:rFonts w:ascii="Garamond" w:hAnsi="Garamond" w:cs="Times New Roman"/>
          <w:sz w:val="26"/>
          <w:szCs w:val="26"/>
        </w:rPr>
        <w:t>generates</w:t>
      </w:r>
      <w:r w:rsidRPr="00AB274D">
        <w:rPr>
          <w:rFonts w:ascii="Garamond" w:hAnsi="Garamond" w:cs="Times New Roman"/>
          <w:sz w:val="26"/>
          <w:szCs w:val="26"/>
        </w:rPr>
        <w:t xml:space="preserve"> one of the lowest</w:t>
      </w:r>
      <w:r w:rsidR="004246C2" w:rsidRPr="00AB274D">
        <w:rPr>
          <w:rFonts w:ascii="Garamond" w:hAnsi="Garamond" w:cs="Times New Roman"/>
          <w:sz w:val="26"/>
          <w:szCs w:val="26"/>
        </w:rPr>
        <w:t xml:space="preserve"> </w:t>
      </w:r>
      <w:r w:rsidR="00324BFF" w:rsidRPr="00AB274D">
        <w:rPr>
          <w:rFonts w:ascii="Garamond" w:hAnsi="Garamond" w:cs="Times New Roman"/>
          <w:sz w:val="26"/>
          <w:szCs w:val="26"/>
        </w:rPr>
        <w:t xml:space="preserve">IGR </w:t>
      </w:r>
      <w:r w:rsidR="00C13CD7" w:rsidRPr="00AB274D">
        <w:rPr>
          <w:rFonts w:ascii="Garamond" w:hAnsi="Garamond" w:cs="Times New Roman"/>
          <w:sz w:val="26"/>
          <w:szCs w:val="26"/>
        </w:rPr>
        <w:t>among the 36 States,</w:t>
      </w:r>
      <w:r w:rsidR="00324BFF" w:rsidRPr="00AB274D">
        <w:rPr>
          <w:rFonts w:ascii="Garamond" w:hAnsi="Garamond" w:cs="Times New Roman"/>
          <w:sz w:val="26"/>
          <w:szCs w:val="26"/>
        </w:rPr>
        <w:t xml:space="preserve"> and also receives </w:t>
      </w:r>
      <w:r w:rsidR="00C13CD7" w:rsidRPr="00AB274D">
        <w:rPr>
          <w:rFonts w:ascii="Garamond" w:hAnsi="Garamond" w:cs="Times New Roman"/>
          <w:sz w:val="26"/>
          <w:szCs w:val="26"/>
        </w:rPr>
        <w:t xml:space="preserve">one of the lowest </w:t>
      </w:r>
      <w:r w:rsidR="004246C2" w:rsidRPr="00AB274D">
        <w:rPr>
          <w:rFonts w:ascii="Garamond" w:hAnsi="Garamond" w:cs="Times New Roman"/>
          <w:sz w:val="26"/>
          <w:szCs w:val="26"/>
        </w:rPr>
        <w:t>monthly</w:t>
      </w:r>
      <w:r w:rsidRPr="00AB274D">
        <w:rPr>
          <w:rFonts w:ascii="Garamond" w:hAnsi="Garamond" w:cs="Times New Roman"/>
          <w:sz w:val="26"/>
          <w:szCs w:val="26"/>
        </w:rPr>
        <w:t xml:space="preserve"> </w:t>
      </w:r>
      <w:r w:rsidR="00AB274D" w:rsidRPr="00AB274D">
        <w:rPr>
          <w:rFonts w:ascii="Garamond" w:hAnsi="Garamond" w:cs="Times New Roman"/>
          <w:sz w:val="26"/>
          <w:szCs w:val="26"/>
        </w:rPr>
        <w:t>allocations</w:t>
      </w:r>
      <w:r w:rsidRPr="00AB274D">
        <w:rPr>
          <w:rFonts w:ascii="Garamond" w:hAnsi="Garamond" w:cs="Times New Roman"/>
          <w:sz w:val="26"/>
          <w:szCs w:val="26"/>
        </w:rPr>
        <w:t xml:space="preserve"> from </w:t>
      </w:r>
      <w:r w:rsidR="00ED7A95" w:rsidRPr="00AB274D">
        <w:rPr>
          <w:rFonts w:ascii="Garamond" w:hAnsi="Garamond" w:cs="Times New Roman"/>
          <w:sz w:val="26"/>
          <w:szCs w:val="26"/>
        </w:rPr>
        <w:t>the Federation Account</w:t>
      </w:r>
      <w:r w:rsidR="008B1AFE" w:rsidRPr="00AB274D">
        <w:rPr>
          <w:rFonts w:ascii="Garamond" w:hAnsi="Garamond" w:cs="Times New Roman"/>
          <w:sz w:val="26"/>
          <w:szCs w:val="26"/>
        </w:rPr>
        <w:t>.</w:t>
      </w:r>
      <w:r w:rsidR="00ED7A95" w:rsidRPr="00AB274D">
        <w:rPr>
          <w:rFonts w:ascii="Garamond" w:hAnsi="Garamond" w:cs="Times New Roman"/>
          <w:sz w:val="26"/>
          <w:szCs w:val="26"/>
        </w:rPr>
        <w:t xml:space="preserve"> </w:t>
      </w:r>
      <w:r w:rsidR="00460E21" w:rsidRPr="00AB274D">
        <w:rPr>
          <w:rFonts w:ascii="Garamond" w:hAnsi="Garamond" w:cs="Times New Roman"/>
          <w:sz w:val="26"/>
          <w:szCs w:val="26"/>
        </w:rPr>
        <w:t xml:space="preserve">At </w:t>
      </w:r>
      <w:r w:rsidR="007809CB" w:rsidRPr="00AB274D">
        <w:rPr>
          <w:rFonts w:ascii="Garamond" w:hAnsi="Garamond" w:cs="Times New Roman"/>
          <w:sz w:val="26"/>
          <w:szCs w:val="26"/>
        </w:rPr>
        <w:t>N3.5 billion in 2014, t</w:t>
      </w:r>
      <w:r w:rsidR="00761747" w:rsidRPr="00AB274D">
        <w:rPr>
          <w:rFonts w:ascii="Garamond" w:hAnsi="Garamond" w:cs="Times New Roman"/>
          <w:sz w:val="26"/>
          <w:szCs w:val="26"/>
        </w:rPr>
        <w:t>he State</w:t>
      </w:r>
      <w:r w:rsidR="008B1AFE" w:rsidRPr="00AB274D">
        <w:rPr>
          <w:rFonts w:ascii="Garamond" w:hAnsi="Garamond" w:cs="Times New Roman"/>
          <w:sz w:val="26"/>
          <w:szCs w:val="26"/>
        </w:rPr>
        <w:t>’s IGR wa</w:t>
      </w:r>
      <w:r w:rsidR="007809CB" w:rsidRPr="00AB274D">
        <w:rPr>
          <w:rFonts w:ascii="Garamond" w:hAnsi="Garamond" w:cs="Times New Roman"/>
          <w:sz w:val="26"/>
          <w:szCs w:val="26"/>
        </w:rPr>
        <w:t xml:space="preserve">s </w:t>
      </w:r>
      <w:r w:rsidR="00AB274D" w:rsidRPr="00AB274D">
        <w:rPr>
          <w:rFonts w:ascii="Garamond" w:hAnsi="Garamond" w:cs="Times New Roman"/>
          <w:sz w:val="26"/>
          <w:szCs w:val="26"/>
        </w:rPr>
        <w:t>7</w:t>
      </w:r>
      <w:r w:rsidR="007809CB" w:rsidRPr="00AB274D">
        <w:rPr>
          <w:rFonts w:ascii="Garamond" w:hAnsi="Garamond" w:cs="Times New Roman"/>
          <w:sz w:val="26"/>
          <w:szCs w:val="26"/>
        </w:rPr>
        <w:t>% of</w:t>
      </w:r>
      <w:r w:rsidR="008B1AFE" w:rsidRPr="00AB274D">
        <w:rPr>
          <w:rFonts w:ascii="Garamond" w:hAnsi="Garamond" w:cs="Times New Roman"/>
          <w:sz w:val="26"/>
          <w:szCs w:val="26"/>
        </w:rPr>
        <w:t xml:space="preserve"> </w:t>
      </w:r>
      <w:r w:rsidR="00AB274D" w:rsidRPr="00AB274D">
        <w:rPr>
          <w:rFonts w:ascii="Garamond" w:hAnsi="Garamond" w:cs="Times New Roman"/>
          <w:sz w:val="26"/>
          <w:szCs w:val="26"/>
        </w:rPr>
        <w:t>its</w:t>
      </w:r>
      <w:r w:rsidR="007809CB" w:rsidRPr="00AB274D">
        <w:rPr>
          <w:rFonts w:ascii="Garamond" w:hAnsi="Garamond" w:cs="Times New Roman"/>
          <w:sz w:val="26"/>
          <w:szCs w:val="26"/>
        </w:rPr>
        <w:t xml:space="preserve"> tot</w:t>
      </w:r>
      <w:r w:rsidR="004246C2" w:rsidRPr="00AB274D">
        <w:rPr>
          <w:rFonts w:ascii="Garamond" w:hAnsi="Garamond" w:cs="Times New Roman"/>
          <w:sz w:val="26"/>
          <w:szCs w:val="26"/>
        </w:rPr>
        <w:t>al</w:t>
      </w:r>
      <w:r w:rsidR="00AB274D" w:rsidRPr="00AB274D">
        <w:rPr>
          <w:rFonts w:ascii="Garamond" w:hAnsi="Garamond" w:cs="Times New Roman"/>
          <w:sz w:val="26"/>
          <w:szCs w:val="26"/>
        </w:rPr>
        <w:t xml:space="preserve"> recurrent</w:t>
      </w:r>
      <w:r w:rsidR="004246C2" w:rsidRPr="00AB274D">
        <w:rPr>
          <w:rFonts w:ascii="Garamond" w:hAnsi="Garamond" w:cs="Times New Roman"/>
          <w:sz w:val="26"/>
          <w:szCs w:val="26"/>
        </w:rPr>
        <w:t xml:space="preserve"> revenue. </w:t>
      </w:r>
      <w:r w:rsidR="00C13CD7" w:rsidRPr="00AB274D">
        <w:rPr>
          <w:rFonts w:ascii="Garamond" w:hAnsi="Garamond" w:cs="Times New Roman"/>
          <w:sz w:val="26"/>
          <w:szCs w:val="26"/>
        </w:rPr>
        <w:t>In</w:t>
      </w:r>
      <w:r w:rsidR="004246C2" w:rsidRPr="00AB274D">
        <w:rPr>
          <w:rFonts w:ascii="Garamond" w:hAnsi="Garamond" w:cs="Times New Roman"/>
          <w:sz w:val="26"/>
          <w:szCs w:val="26"/>
        </w:rPr>
        <w:t xml:space="preserve"> the last 5 years, g</w:t>
      </w:r>
      <w:r w:rsidR="000B6C9F" w:rsidRPr="00AB274D">
        <w:rPr>
          <w:rFonts w:ascii="Garamond" w:hAnsi="Garamond" w:cs="Times New Roman"/>
          <w:sz w:val="26"/>
          <w:szCs w:val="26"/>
        </w:rPr>
        <w:t>rowth in IGR has fluctuated from N</w:t>
      </w:r>
      <w:r w:rsidR="00AB274D" w:rsidRPr="00AB274D">
        <w:rPr>
          <w:rFonts w:ascii="Garamond" w:hAnsi="Garamond" w:cs="Times New Roman"/>
          <w:sz w:val="26"/>
          <w:szCs w:val="26"/>
        </w:rPr>
        <w:t>1.6</w:t>
      </w:r>
      <w:r w:rsidR="000B6C9F" w:rsidRPr="00AB274D">
        <w:rPr>
          <w:rFonts w:ascii="Garamond" w:hAnsi="Garamond" w:cs="Times New Roman"/>
          <w:sz w:val="26"/>
          <w:szCs w:val="26"/>
        </w:rPr>
        <w:t xml:space="preserve"> billion in 2010 to N3.8 billion in 2012</w:t>
      </w:r>
      <w:r w:rsidR="004246C2" w:rsidRPr="00AB274D">
        <w:rPr>
          <w:rFonts w:ascii="Garamond" w:hAnsi="Garamond" w:cs="Times New Roman"/>
          <w:sz w:val="26"/>
          <w:szCs w:val="26"/>
        </w:rPr>
        <w:t>,</w:t>
      </w:r>
      <w:r w:rsidR="000B6C9F" w:rsidRPr="00AB274D">
        <w:rPr>
          <w:rFonts w:ascii="Garamond" w:hAnsi="Garamond" w:cs="Times New Roman"/>
          <w:sz w:val="26"/>
          <w:szCs w:val="26"/>
        </w:rPr>
        <w:t xml:space="preserve"> down to N3.5 in 2014.</w:t>
      </w:r>
      <w:r w:rsidR="008B1AFE" w:rsidRPr="00AB274D">
        <w:rPr>
          <w:rFonts w:ascii="Garamond" w:hAnsi="Garamond" w:cs="Times New Roman"/>
          <w:sz w:val="26"/>
          <w:szCs w:val="26"/>
        </w:rPr>
        <w:t xml:space="preserve"> </w:t>
      </w:r>
    </w:p>
    <w:p w:rsidR="00AB274D" w:rsidRPr="00AB274D" w:rsidRDefault="00AB274D" w:rsidP="00AB274D">
      <w:pPr>
        <w:spacing w:line="360" w:lineRule="auto"/>
        <w:jc w:val="both"/>
        <w:rPr>
          <w:rFonts w:ascii="Garamond" w:hAnsi="Garamond" w:cs="Times New Roman"/>
          <w:sz w:val="2"/>
          <w:szCs w:val="26"/>
        </w:rPr>
      </w:pPr>
    </w:p>
    <w:p w:rsidR="00AB274D" w:rsidRPr="00AB274D" w:rsidRDefault="00AB274D" w:rsidP="00AB274D">
      <w:pPr>
        <w:jc w:val="center"/>
        <w:rPr>
          <w:rFonts w:ascii="Garamond" w:hAnsi="Garamond"/>
          <w:b/>
          <w:sz w:val="26"/>
          <w:szCs w:val="26"/>
        </w:rPr>
      </w:pPr>
      <w:r w:rsidRPr="00AB274D">
        <w:rPr>
          <w:rFonts w:ascii="Garamond" w:hAnsi="Garamond"/>
          <w:b/>
          <w:sz w:val="26"/>
          <w:szCs w:val="26"/>
        </w:rPr>
        <w:t>IGR SNAPSHOT IN THE SOUTH WEST ZONE (2014)</w:t>
      </w:r>
    </w:p>
    <w:tbl>
      <w:tblPr>
        <w:tblW w:w="10604" w:type="dxa"/>
        <w:jc w:val="center"/>
        <w:tblInd w:w="91" w:type="dxa"/>
        <w:tblLook w:val="04A0" w:firstRow="1" w:lastRow="0" w:firstColumn="1" w:lastColumn="0" w:noHBand="0" w:noVBand="1"/>
      </w:tblPr>
      <w:tblGrid>
        <w:gridCol w:w="636"/>
        <w:gridCol w:w="1340"/>
        <w:gridCol w:w="1889"/>
        <w:gridCol w:w="2001"/>
        <w:gridCol w:w="1281"/>
        <w:gridCol w:w="2177"/>
        <w:gridCol w:w="1280"/>
      </w:tblGrid>
      <w:tr w:rsidR="00AB274D" w:rsidRPr="00AB274D" w:rsidTr="00AB274D">
        <w:trPr>
          <w:trHeight w:val="900"/>
          <w:jc w:val="center"/>
        </w:trPr>
        <w:tc>
          <w:tcPr>
            <w:tcW w:w="636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AB274D" w:rsidRPr="00AB274D" w:rsidRDefault="00AB274D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S/N</w:t>
            </w:r>
          </w:p>
        </w:tc>
        <w:tc>
          <w:tcPr>
            <w:tcW w:w="134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AB274D" w:rsidRPr="00AB274D" w:rsidRDefault="00AB274D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188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AB274D" w:rsidRPr="00AB274D" w:rsidRDefault="00AB274D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MONTHLY IGR (N)</w:t>
            </w:r>
          </w:p>
        </w:tc>
        <w:tc>
          <w:tcPr>
            <w:tcW w:w="200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AB274D" w:rsidRPr="00AB274D" w:rsidRDefault="00AB274D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ANNUAL IGR  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AB274D" w:rsidRPr="00AB274D" w:rsidRDefault="00AB274D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AB274D" w:rsidRPr="00AB274D" w:rsidRDefault="00AB274D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IGR/RECURRENT REVENUE (%)</w:t>
            </w:r>
          </w:p>
        </w:tc>
        <w:tc>
          <w:tcPr>
            <w:tcW w:w="128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AB274D" w:rsidRPr="00AB274D" w:rsidRDefault="00AB274D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IGR PER CAPITA (N)</w:t>
            </w:r>
          </w:p>
        </w:tc>
      </w:tr>
      <w:tr w:rsidR="00AB274D" w:rsidRPr="00AB274D" w:rsidTr="00AB274D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LAGOS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23,013,664,889.66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276,163,978,675.95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16.5%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67.9%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23,552.63 </w:t>
            </w:r>
          </w:p>
        </w:tc>
      </w:tr>
      <w:tr w:rsidR="00AB274D" w:rsidRPr="00AB274D" w:rsidTr="00AB274D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OGUN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 1,458,135,065.63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 17,497,620,787.52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21.9%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26.4%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3,597.60 </w:t>
            </w:r>
          </w:p>
        </w:tc>
      </w:tr>
      <w:tr w:rsidR="00AB274D" w:rsidRPr="00AB274D" w:rsidTr="00AB274D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OYO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 1,358,936,141.68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 16,307,233,700.20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11.7%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21.7%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2,236.21 </w:t>
            </w:r>
          </w:p>
        </w:tc>
      </w:tr>
      <w:tr w:rsidR="00AB274D" w:rsidRPr="00AB274D" w:rsidTr="00AB274D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ONDO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    976,561,791.87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 11,718,741,502.49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16.0%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13.4%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2,672.99 </w:t>
            </w:r>
          </w:p>
        </w:tc>
      </w:tr>
      <w:tr w:rsidR="00AB274D" w:rsidRPr="00AB274D" w:rsidTr="00AB274D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OSUN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    709,439,515.56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   8,513,274,186.67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26.0%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15.1%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1,936.51 </w:t>
            </w:r>
          </w:p>
        </w:tc>
      </w:tr>
      <w:tr w:rsidR="00AB274D" w:rsidRPr="00AB274D" w:rsidTr="00AB274D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EKITI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 xml:space="preserve">        288,528,454.03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 xml:space="preserve">       3,462,341,448.32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>22.2%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>7.0%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AB274D" w:rsidRPr="00AB274D" w:rsidRDefault="00AB274D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AB274D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 xml:space="preserve">    1,130.52 </w:t>
            </w:r>
          </w:p>
        </w:tc>
      </w:tr>
    </w:tbl>
    <w:p w:rsidR="00AB274D" w:rsidRPr="00AB274D" w:rsidRDefault="00AB274D" w:rsidP="00AB274D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851CC9" w:rsidRPr="00AB274D" w:rsidRDefault="000B6C9F" w:rsidP="00AB274D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AB274D">
        <w:rPr>
          <w:rFonts w:ascii="Garamond" w:hAnsi="Garamond" w:cs="Times New Roman"/>
          <w:b/>
          <w:sz w:val="26"/>
          <w:szCs w:val="26"/>
        </w:rPr>
        <w:t xml:space="preserve">Major </w:t>
      </w:r>
      <w:r w:rsidR="00EF28D5" w:rsidRPr="00AB274D">
        <w:rPr>
          <w:rFonts w:ascii="Garamond" w:hAnsi="Garamond" w:cs="Times New Roman"/>
          <w:b/>
          <w:sz w:val="26"/>
          <w:szCs w:val="26"/>
        </w:rPr>
        <w:t xml:space="preserve">challenges </w:t>
      </w:r>
      <w:r w:rsidRPr="00AB274D">
        <w:rPr>
          <w:rFonts w:ascii="Garamond" w:hAnsi="Garamond" w:cs="Times New Roman"/>
          <w:b/>
          <w:sz w:val="26"/>
          <w:szCs w:val="26"/>
        </w:rPr>
        <w:t xml:space="preserve">in </w:t>
      </w:r>
      <w:r w:rsidR="00EF28D5" w:rsidRPr="00AB274D">
        <w:rPr>
          <w:rFonts w:ascii="Garamond" w:hAnsi="Garamond" w:cs="Times New Roman"/>
          <w:b/>
          <w:sz w:val="26"/>
          <w:szCs w:val="26"/>
        </w:rPr>
        <w:t>revenue generation</w:t>
      </w:r>
      <w:r w:rsidR="00AB274D" w:rsidRPr="00AB274D">
        <w:rPr>
          <w:rFonts w:ascii="Garamond" w:hAnsi="Garamond" w:cs="Times New Roman"/>
          <w:b/>
          <w:sz w:val="26"/>
          <w:szCs w:val="26"/>
        </w:rPr>
        <w:t>:</w:t>
      </w:r>
    </w:p>
    <w:p w:rsidR="00EF28D5" w:rsidRPr="00AB274D" w:rsidRDefault="00851CC9" w:rsidP="00AB27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AB274D">
        <w:rPr>
          <w:rFonts w:ascii="Garamond" w:hAnsi="Garamond" w:cs="Times New Roman"/>
          <w:sz w:val="26"/>
          <w:szCs w:val="26"/>
        </w:rPr>
        <w:t>Inadequate budget provision for</w:t>
      </w:r>
      <w:r w:rsidR="00AB274D">
        <w:rPr>
          <w:rFonts w:ascii="Garamond" w:hAnsi="Garamond" w:cs="Times New Roman"/>
          <w:sz w:val="26"/>
          <w:szCs w:val="26"/>
        </w:rPr>
        <w:t xml:space="preserve"> the</w:t>
      </w:r>
      <w:r w:rsidRPr="00AB274D">
        <w:rPr>
          <w:rFonts w:ascii="Garamond" w:hAnsi="Garamond" w:cs="Times New Roman"/>
          <w:sz w:val="26"/>
          <w:szCs w:val="26"/>
        </w:rPr>
        <w:t xml:space="preserve"> </w:t>
      </w:r>
      <w:r w:rsidR="00403936" w:rsidRPr="00AB274D">
        <w:rPr>
          <w:rFonts w:ascii="Garamond" w:hAnsi="Garamond" w:cs="Times New Roman"/>
          <w:sz w:val="26"/>
          <w:szCs w:val="26"/>
        </w:rPr>
        <w:t xml:space="preserve">Board of Internal </w:t>
      </w:r>
      <w:r w:rsidR="00EF28D5" w:rsidRPr="00AB274D">
        <w:rPr>
          <w:rFonts w:ascii="Garamond" w:hAnsi="Garamond" w:cs="Times New Roman"/>
          <w:sz w:val="26"/>
          <w:szCs w:val="26"/>
        </w:rPr>
        <w:t>Revenue</w:t>
      </w:r>
    </w:p>
    <w:p w:rsidR="00403936" w:rsidRPr="00AB274D" w:rsidRDefault="00EF28D5" w:rsidP="00AB27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AB274D">
        <w:rPr>
          <w:rFonts w:ascii="Garamond" w:hAnsi="Garamond" w:cs="Times New Roman"/>
          <w:sz w:val="26"/>
          <w:szCs w:val="26"/>
        </w:rPr>
        <w:t xml:space="preserve">Lack </w:t>
      </w:r>
      <w:r w:rsidR="00403936" w:rsidRPr="00AB274D">
        <w:rPr>
          <w:rFonts w:ascii="Garamond" w:hAnsi="Garamond" w:cs="Times New Roman"/>
          <w:sz w:val="26"/>
          <w:szCs w:val="26"/>
        </w:rPr>
        <w:t>of ince</w:t>
      </w:r>
      <w:r w:rsidRPr="00AB274D">
        <w:rPr>
          <w:rFonts w:ascii="Garamond" w:hAnsi="Garamond" w:cs="Times New Roman"/>
          <w:sz w:val="26"/>
          <w:szCs w:val="26"/>
        </w:rPr>
        <w:t xml:space="preserve">ntives and training for staff </w:t>
      </w:r>
    </w:p>
    <w:p w:rsidR="00403936" w:rsidRPr="00AB274D" w:rsidRDefault="00403936" w:rsidP="00AB27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AB274D">
        <w:rPr>
          <w:rFonts w:ascii="Garamond" w:hAnsi="Garamond" w:cs="Times New Roman"/>
          <w:sz w:val="26"/>
          <w:szCs w:val="26"/>
        </w:rPr>
        <w:t xml:space="preserve">Cumbersome tax filing procedures </w:t>
      </w:r>
      <w:r w:rsidR="000B6C9F" w:rsidRPr="00AB274D">
        <w:rPr>
          <w:rFonts w:ascii="Garamond" w:hAnsi="Garamond" w:cs="Times New Roman"/>
          <w:sz w:val="26"/>
          <w:szCs w:val="26"/>
        </w:rPr>
        <w:t>i.e.</w:t>
      </w:r>
      <w:r w:rsidRPr="00AB274D">
        <w:rPr>
          <w:rFonts w:ascii="Garamond" w:hAnsi="Garamond" w:cs="Times New Roman"/>
          <w:sz w:val="26"/>
          <w:szCs w:val="26"/>
        </w:rPr>
        <w:t xml:space="preserve"> complicated forms and th</w:t>
      </w:r>
      <w:r w:rsidR="000B6C9F" w:rsidRPr="00AB274D">
        <w:rPr>
          <w:rFonts w:ascii="Garamond" w:hAnsi="Garamond" w:cs="Times New Roman"/>
          <w:sz w:val="26"/>
          <w:szCs w:val="26"/>
        </w:rPr>
        <w:t>e need for physical presence at</w:t>
      </w:r>
      <w:r w:rsidRPr="00AB274D">
        <w:rPr>
          <w:rFonts w:ascii="Garamond" w:hAnsi="Garamond" w:cs="Times New Roman"/>
          <w:sz w:val="26"/>
          <w:szCs w:val="26"/>
        </w:rPr>
        <w:t xml:space="preserve"> the tax office.</w:t>
      </w:r>
    </w:p>
    <w:p w:rsidR="00403936" w:rsidRPr="00AB274D" w:rsidRDefault="00403936" w:rsidP="00AB27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AB274D">
        <w:rPr>
          <w:rFonts w:ascii="Garamond" w:hAnsi="Garamond" w:cs="Times New Roman"/>
          <w:sz w:val="26"/>
          <w:szCs w:val="26"/>
        </w:rPr>
        <w:t>Lack of stringent laws and manpower to enforce compliance</w:t>
      </w:r>
    </w:p>
    <w:p w:rsidR="00403936" w:rsidRPr="00AB274D" w:rsidRDefault="00403936" w:rsidP="00AB27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AB274D">
        <w:rPr>
          <w:rFonts w:ascii="Garamond" w:hAnsi="Garamond" w:cs="Times New Roman"/>
          <w:sz w:val="26"/>
          <w:szCs w:val="26"/>
        </w:rPr>
        <w:t xml:space="preserve">Lack of </w:t>
      </w:r>
      <w:r w:rsidR="008B1AFE" w:rsidRPr="00AB274D">
        <w:rPr>
          <w:rFonts w:ascii="Garamond" w:hAnsi="Garamond" w:cs="Times New Roman"/>
          <w:sz w:val="26"/>
          <w:szCs w:val="26"/>
        </w:rPr>
        <w:t xml:space="preserve">an </w:t>
      </w:r>
      <w:r w:rsidRPr="00AB274D">
        <w:rPr>
          <w:rFonts w:ascii="Garamond" w:hAnsi="Garamond" w:cs="Times New Roman"/>
          <w:sz w:val="26"/>
          <w:szCs w:val="26"/>
        </w:rPr>
        <w:t>automated and comprehensive database of tax payers</w:t>
      </w:r>
    </w:p>
    <w:p w:rsidR="00EF28D5" w:rsidRPr="00AB274D" w:rsidRDefault="00EF28D5" w:rsidP="00AB274D">
      <w:pPr>
        <w:pStyle w:val="ListParagraph"/>
        <w:spacing w:line="360" w:lineRule="auto"/>
        <w:jc w:val="both"/>
        <w:rPr>
          <w:rFonts w:ascii="Garamond" w:hAnsi="Garamond" w:cs="Times New Roman"/>
          <w:sz w:val="26"/>
          <w:szCs w:val="26"/>
        </w:rPr>
      </w:pPr>
    </w:p>
    <w:p w:rsidR="001455CC" w:rsidRDefault="001455CC" w:rsidP="001455CC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</w:p>
    <w:p w:rsidR="000B6C9F" w:rsidRPr="00AB274D" w:rsidRDefault="001455CC" w:rsidP="001455CC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tbl>
      <w:tblPr>
        <w:tblStyle w:val="TableGrid"/>
        <w:tblW w:w="10106" w:type="dxa"/>
        <w:jc w:val="center"/>
        <w:tblLook w:val="04A0" w:firstRow="1" w:lastRow="0" w:firstColumn="1" w:lastColumn="0" w:noHBand="0" w:noVBand="1"/>
      </w:tblPr>
      <w:tblGrid>
        <w:gridCol w:w="713"/>
        <w:gridCol w:w="2140"/>
        <w:gridCol w:w="3439"/>
        <w:gridCol w:w="1450"/>
        <w:gridCol w:w="2364"/>
      </w:tblGrid>
      <w:tr w:rsidR="00505BA5" w:rsidRPr="00AB274D" w:rsidTr="001455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05BA5" w:rsidRPr="00AB274D" w:rsidRDefault="00505BA5" w:rsidP="00AB274D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b/>
                <w:sz w:val="26"/>
                <w:szCs w:val="26"/>
              </w:rPr>
              <w:t>S/N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05BA5" w:rsidRPr="00AB274D" w:rsidRDefault="00505BA5" w:rsidP="00AB274D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b/>
                <w:sz w:val="26"/>
                <w:szCs w:val="26"/>
              </w:rPr>
              <w:t xml:space="preserve">Identified </w:t>
            </w:r>
            <w:r w:rsidR="00EF28D5" w:rsidRPr="00AB274D">
              <w:rPr>
                <w:rFonts w:ascii="Garamond" w:hAnsi="Garamond" w:cs="Times New Roman"/>
                <w:b/>
                <w:sz w:val="26"/>
                <w:szCs w:val="26"/>
              </w:rPr>
              <w:t>goals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05BA5" w:rsidRPr="00AB274D" w:rsidRDefault="00505BA5" w:rsidP="00AB274D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b/>
                <w:sz w:val="26"/>
                <w:szCs w:val="26"/>
              </w:rPr>
              <w:t>Action Required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05BA5" w:rsidRPr="00AB274D" w:rsidRDefault="00505BA5" w:rsidP="00AB274D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b/>
                <w:sz w:val="26"/>
                <w:szCs w:val="26"/>
              </w:rPr>
              <w:t>Timeline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05BA5" w:rsidRPr="00AB274D" w:rsidRDefault="00505BA5" w:rsidP="00AB274D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b/>
                <w:sz w:val="26"/>
                <w:szCs w:val="26"/>
              </w:rPr>
              <w:t>Responsibility</w:t>
            </w:r>
          </w:p>
        </w:tc>
      </w:tr>
      <w:tr w:rsidR="00505BA5" w:rsidRPr="00AB274D" w:rsidTr="00EF28D5">
        <w:trPr>
          <w:trHeight w:val="69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A5" w:rsidRPr="00AB274D" w:rsidRDefault="001455CC" w:rsidP="00AB274D">
            <w:pPr>
              <w:spacing w:line="36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505BA5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Improve tax debt recovery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505BA5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Enhancement of tax audit and investigation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505BA5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6 months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505BA5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Internal Revenue Service</w:t>
            </w:r>
          </w:p>
        </w:tc>
      </w:tr>
      <w:tr w:rsidR="00505BA5" w:rsidRPr="00AB274D" w:rsidTr="00EF28D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A5" w:rsidRPr="00AB274D" w:rsidRDefault="001455CC" w:rsidP="00AB274D">
            <w:pPr>
              <w:spacing w:line="36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8B1AFE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W</w:t>
            </w:r>
            <w:r w:rsidR="00505BA5" w:rsidRPr="00AB274D">
              <w:rPr>
                <w:rFonts w:ascii="Garamond" w:hAnsi="Garamond" w:cs="Times New Roman"/>
                <w:sz w:val="26"/>
                <w:szCs w:val="26"/>
              </w:rPr>
              <w:t>iden the tax net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505BA5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Sensitization/tax education for the private and public sector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505BA5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6 months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505BA5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Internal Revenue Service</w:t>
            </w:r>
          </w:p>
        </w:tc>
      </w:tr>
      <w:tr w:rsidR="00505BA5" w:rsidRPr="00AB274D" w:rsidTr="00EF28D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A5" w:rsidRPr="00AB274D" w:rsidRDefault="001455CC" w:rsidP="00AB274D">
            <w:pPr>
              <w:spacing w:line="36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8B1AFE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C</w:t>
            </w:r>
            <w:r w:rsidR="00505BA5" w:rsidRPr="00AB274D">
              <w:rPr>
                <w:rFonts w:ascii="Garamond" w:hAnsi="Garamond" w:cs="Times New Roman"/>
                <w:sz w:val="26"/>
                <w:szCs w:val="26"/>
              </w:rPr>
              <w:t xml:space="preserve">reate a robust database </w:t>
            </w:r>
            <w:r w:rsidRPr="00AB274D">
              <w:rPr>
                <w:rFonts w:ascii="Garamond" w:hAnsi="Garamond" w:cs="Times New Roman"/>
                <w:sz w:val="26"/>
                <w:szCs w:val="26"/>
              </w:rPr>
              <w:t>on</w:t>
            </w:r>
            <w:r w:rsidR="00505BA5" w:rsidRPr="00AB274D">
              <w:rPr>
                <w:rFonts w:ascii="Garamond" w:hAnsi="Garamond" w:cs="Times New Roman"/>
                <w:sz w:val="26"/>
                <w:szCs w:val="26"/>
              </w:rPr>
              <w:t xml:space="preserve"> tax</w:t>
            </w:r>
            <w:r w:rsidRPr="00AB274D">
              <w:rPr>
                <w:rFonts w:ascii="Garamond" w:hAnsi="Garamond" w:cs="Times New Roman"/>
                <w:sz w:val="26"/>
                <w:szCs w:val="26"/>
              </w:rPr>
              <w:t xml:space="preserve"> payers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505BA5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 xml:space="preserve">To carry out an automated assessment of the process through </w:t>
            </w:r>
            <w:r w:rsidR="004246C2" w:rsidRPr="00AB274D">
              <w:rPr>
                <w:rFonts w:ascii="Garamond" w:hAnsi="Garamond" w:cs="Times New Roman"/>
                <w:sz w:val="26"/>
                <w:szCs w:val="26"/>
              </w:rPr>
              <w:t xml:space="preserve">the design and </w:t>
            </w:r>
            <w:r w:rsidRPr="00AB274D">
              <w:rPr>
                <w:rFonts w:ascii="Garamond" w:hAnsi="Garamond" w:cs="Times New Roman"/>
                <w:sz w:val="26"/>
                <w:szCs w:val="26"/>
              </w:rPr>
              <w:t>use of Information Technology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505BA5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6 months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505BA5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Information and Communications Technology, Governor’s Office</w:t>
            </w:r>
          </w:p>
        </w:tc>
      </w:tr>
      <w:tr w:rsidR="00505BA5" w:rsidRPr="00AB274D" w:rsidTr="00EF28D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1455CC" w:rsidP="00AB274D">
            <w:pPr>
              <w:spacing w:line="36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505BA5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 xml:space="preserve">Welfare and </w:t>
            </w:r>
            <w:r w:rsidR="001455CC" w:rsidRPr="00AB274D">
              <w:rPr>
                <w:rFonts w:ascii="Garamond" w:hAnsi="Garamond" w:cs="Times New Roman"/>
                <w:sz w:val="26"/>
                <w:szCs w:val="26"/>
              </w:rPr>
              <w:t xml:space="preserve">incentives </w:t>
            </w:r>
            <w:r w:rsidRPr="00AB274D">
              <w:rPr>
                <w:rFonts w:ascii="Garamond" w:hAnsi="Garamond" w:cs="Times New Roman"/>
                <w:sz w:val="26"/>
                <w:szCs w:val="26"/>
              </w:rPr>
              <w:t>for staff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505BA5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Adequate/sufficient budget for the Internal Revenue Service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505BA5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6 months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505BA5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Ministry of Finance &amp; Budget</w:t>
            </w:r>
          </w:p>
        </w:tc>
      </w:tr>
      <w:tr w:rsidR="00505BA5" w:rsidRPr="00AB274D" w:rsidTr="00EF28D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1455CC" w:rsidP="00AB274D">
            <w:pPr>
              <w:spacing w:line="36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E213A8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 xml:space="preserve">Maximize IGR for the </w:t>
            </w:r>
            <w:r w:rsidR="001455CC" w:rsidRPr="00AB274D">
              <w:rPr>
                <w:rFonts w:ascii="Garamond" w:hAnsi="Garamond" w:cs="Times New Roman"/>
                <w:sz w:val="26"/>
                <w:szCs w:val="26"/>
              </w:rPr>
              <w:t>State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E213A8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Autonomy for  the State’s Internal Revenue Service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E213A8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6 months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AB274D" w:rsidRDefault="00E213A8" w:rsidP="00AB274D">
            <w:pPr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AB274D">
              <w:rPr>
                <w:rFonts w:ascii="Garamond" w:hAnsi="Garamond" w:cs="Times New Roman"/>
                <w:sz w:val="26"/>
                <w:szCs w:val="26"/>
              </w:rPr>
              <w:t>Inland Revenue Service</w:t>
            </w:r>
          </w:p>
        </w:tc>
      </w:tr>
    </w:tbl>
    <w:p w:rsidR="00851CC9" w:rsidRPr="00AB274D" w:rsidRDefault="00851CC9" w:rsidP="00AB274D">
      <w:p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</w:p>
    <w:sectPr w:rsidR="00851CC9" w:rsidRPr="00AB274D" w:rsidSect="00EF28D5">
      <w:footerReference w:type="default" r:id="rId9"/>
      <w:pgSz w:w="11906" w:h="16838"/>
      <w:pgMar w:top="900" w:right="1440" w:bottom="630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6E" w:rsidRDefault="00C7566E" w:rsidP="003E4F22">
      <w:pPr>
        <w:spacing w:after="0" w:line="240" w:lineRule="auto"/>
      </w:pPr>
      <w:r>
        <w:separator/>
      </w:r>
    </w:p>
  </w:endnote>
  <w:endnote w:type="continuationSeparator" w:id="0">
    <w:p w:rsidR="00C7566E" w:rsidRDefault="00C7566E" w:rsidP="003E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579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455CC" w:rsidRPr="001455CC" w:rsidRDefault="001455CC">
            <w:pPr>
              <w:pStyle w:val="Footer"/>
              <w:jc w:val="right"/>
              <w:rPr>
                <w:rFonts w:ascii="Garamond" w:hAnsi="Garamond"/>
              </w:rPr>
            </w:pPr>
            <w:r w:rsidRPr="001455CC">
              <w:rPr>
                <w:rFonts w:ascii="Garamond" w:hAnsi="Garamond"/>
              </w:rPr>
              <w:t xml:space="preserve">Page </w:t>
            </w:r>
            <w:r w:rsidRPr="001455CC">
              <w:rPr>
                <w:rFonts w:ascii="Garamond" w:hAnsi="Garamond"/>
              </w:rPr>
              <w:fldChar w:fldCharType="begin"/>
            </w:r>
            <w:r w:rsidRPr="001455CC">
              <w:rPr>
                <w:rFonts w:ascii="Garamond" w:hAnsi="Garamond"/>
              </w:rPr>
              <w:instrText xml:space="preserve"> PAGE </w:instrText>
            </w:r>
            <w:r w:rsidRPr="001455CC">
              <w:rPr>
                <w:rFonts w:ascii="Garamond" w:hAnsi="Garamond"/>
              </w:rPr>
              <w:fldChar w:fldCharType="separate"/>
            </w:r>
            <w:r w:rsidR="006D11D5">
              <w:rPr>
                <w:rFonts w:ascii="Garamond" w:hAnsi="Garamond"/>
                <w:noProof/>
              </w:rPr>
              <w:t>1</w:t>
            </w:r>
            <w:r w:rsidRPr="001455CC">
              <w:rPr>
                <w:rFonts w:ascii="Garamond" w:hAnsi="Garamond"/>
              </w:rPr>
              <w:fldChar w:fldCharType="end"/>
            </w:r>
            <w:r w:rsidRPr="001455CC">
              <w:rPr>
                <w:rFonts w:ascii="Garamond" w:hAnsi="Garamond"/>
              </w:rPr>
              <w:t xml:space="preserve"> of </w:t>
            </w:r>
            <w:r w:rsidRPr="001455CC">
              <w:rPr>
                <w:rFonts w:ascii="Garamond" w:hAnsi="Garamond"/>
              </w:rPr>
              <w:fldChar w:fldCharType="begin"/>
            </w:r>
            <w:r w:rsidRPr="001455CC">
              <w:rPr>
                <w:rFonts w:ascii="Garamond" w:hAnsi="Garamond"/>
              </w:rPr>
              <w:instrText xml:space="preserve"> NUMPAGES  </w:instrText>
            </w:r>
            <w:r w:rsidRPr="001455CC">
              <w:rPr>
                <w:rFonts w:ascii="Garamond" w:hAnsi="Garamond"/>
              </w:rPr>
              <w:fldChar w:fldCharType="separate"/>
            </w:r>
            <w:r w:rsidR="006D11D5">
              <w:rPr>
                <w:rFonts w:ascii="Garamond" w:hAnsi="Garamond"/>
                <w:noProof/>
              </w:rPr>
              <w:t>2</w:t>
            </w:r>
            <w:r w:rsidRPr="001455CC">
              <w:rPr>
                <w:rFonts w:ascii="Garamond" w:hAnsi="Garamond"/>
              </w:rPr>
              <w:fldChar w:fldCharType="end"/>
            </w:r>
          </w:p>
        </w:sdtContent>
      </w:sdt>
    </w:sdtContent>
  </w:sdt>
  <w:p w:rsidR="003E4F22" w:rsidRDefault="003E4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6E" w:rsidRDefault="00C7566E" w:rsidP="003E4F22">
      <w:pPr>
        <w:spacing w:after="0" w:line="240" w:lineRule="auto"/>
      </w:pPr>
      <w:r>
        <w:separator/>
      </w:r>
    </w:p>
  </w:footnote>
  <w:footnote w:type="continuationSeparator" w:id="0">
    <w:p w:rsidR="00C7566E" w:rsidRDefault="00C7566E" w:rsidP="003E4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3507"/>
    <w:multiLevelType w:val="hybridMultilevel"/>
    <w:tmpl w:val="2520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3C96"/>
    <w:multiLevelType w:val="hybridMultilevel"/>
    <w:tmpl w:val="503CA0B2"/>
    <w:lvl w:ilvl="0" w:tplc="2CE0D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D936AD"/>
    <w:multiLevelType w:val="hybridMultilevel"/>
    <w:tmpl w:val="A998B73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8A"/>
    <w:rsid w:val="00001C0C"/>
    <w:rsid w:val="000B6C9F"/>
    <w:rsid w:val="001455CC"/>
    <w:rsid w:val="00264022"/>
    <w:rsid w:val="00324BFF"/>
    <w:rsid w:val="00393FF4"/>
    <w:rsid w:val="003E4F22"/>
    <w:rsid w:val="00403936"/>
    <w:rsid w:val="004246C2"/>
    <w:rsid w:val="00457FDA"/>
    <w:rsid w:val="00460E21"/>
    <w:rsid w:val="004E45AD"/>
    <w:rsid w:val="00505BA5"/>
    <w:rsid w:val="0052267A"/>
    <w:rsid w:val="00534B1C"/>
    <w:rsid w:val="005D75E7"/>
    <w:rsid w:val="0062488A"/>
    <w:rsid w:val="006D11D5"/>
    <w:rsid w:val="006D3BE3"/>
    <w:rsid w:val="0074343D"/>
    <w:rsid w:val="00761747"/>
    <w:rsid w:val="007809CB"/>
    <w:rsid w:val="00787C01"/>
    <w:rsid w:val="008056FD"/>
    <w:rsid w:val="00851CC9"/>
    <w:rsid w:val="00891E09"/>
    <w:rsid w:val="008B1AFE"/>
    <w:rsid w:val="009874D4"/>
    <w:rsid w:val="00995E0A"/>
    <w:rsid w:val="009B4651"/>
    <w:rsid w:val="00AB274D"/>
    <w:rsid w:val="00AD51C0"/>
    <w:rsid w:val="00AE2037"/>
    <w:rsid w:val="00B0713C"/>
    <w:rsid w:val="00C13CD7"/>
    <w:rsid w:val="00C7566E"/>
    <w:rsid w:val="00E213A8"/>
    <w:rsid w:val="00EA48C4"/>
    <w:rsid w:val="00EB4961"/>
    <w:rsid w:val="00ED7A95"/>
    <w:rsid w:val="00EF28D5"/>
    <w:rsid w:val="00F17C5D"/>
    <w:rsid w:val="00FF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02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13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B4961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3E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F22"/>
  </w:style>
  <w:style w:type="paragraph" w:styleId="Footer">
    <w:name w:val="footer"/>
    <w:basedOn w:val="Normal"/>
    <w:link w:val="FooterChar"/>
    <w:uiPriority w:val="99"/>
    <w:unhideWhenUsed/>
    <w:rsid w:val="003E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02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13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B4961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3E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F22"/>
  </w:style>
  <w:style w:type="paragraph" w:styleId="Footer">
    <w:name w:val="footer"/>
    <w:basedOn w:val="Normal"/>
    <w:link w:val="FooterChar"/>
    <w:uiPriority w:val="99"/>
    <w:unhideWhenUsed/>
    <w:rsid w:val="003E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WOLEX</dc:creator>
  <cp:lastModifiedBy>Chioma</cp:lastModifiedBy>
  <cp:revision>2</cp:revision>
  <dcterms:created xsi:type="dcterms:W3CDTF">2016-02-17T08:25:00Z</dcterms:created>
  <dcterms:modified xsi:type="dcterms:W3CDTF">2016-02-17T08:25:00Z</dcterms:modified>
</cp:coreProperties>
</file>