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71" w:type="dxa"/>
        <w:tblLook w:val="04A0" w:firstRow="1" w:lastRow="0" w:firstColumn="1" w:lastColumn="0" w:noHBand="0" w:noVBand="1"/>
      </w:tblPr>
      <w:tblGrid>
        <w:gridCol w:w="2466"/>
        <w:gridCol w:w="2192"/>
        <w:gridCol w:w="1604"/>
        <w:gridCol w:w="1457"/>
        <w:gridCol w:w="1552"/>
      </w:tblGrid>
      <w:tr w:rsidR="00C71457" w:rsidRPr="00C71457" w:rsidTr="00C71457">
        <w:trPr>
          <w:trHeight w:val="295"/>
        </w:trPr>
        <w:tc>
          <w:tcPr>
            <w:tcW w:w="9271" w:type="dxa"/>
            <w:gridSpan w:val="5"/>
            <w:noWrap/>
            <w:hideMark/>
          </w:tcPr>
          <w:p w:rsidR="00C71457" w:rsidRPr="00C71457" w:rsidRDefault="00C71457" w:rsidP="00C71457">
            <w:pPr>
              <w:jc w:val="center"/>
              <w:rPr>
                <w:rFonts w:ascii="Corbel" w:hAnsi="Corbel"/>
                <w:b/>
                <w:bCs/>
                <w:sz w:val="20"/>
              </w:rPr>
            </w:pPr>
            <w:r w:rsidRPr="00C71457">
              <w:rPr>
                <w:rFonts w:ascii="Corbel" w:hAnsi="Corbel"/>
                <w:b/>
                <w:bCs/>
                <w:sz w:val="20"/>
              </w:rPr>
              <w:t>Status of Statistical Development at the State Level</w:t>
            </w:r>
          </w:p>
        </w:tc>
      </w:tr>
      <w:tr w:rsidR="00C71457" w:rsidRPr="00C71457" w:rsidTr="00C71457">
        <w:trPr>
          <w:trHeight w:val="472"/>
        </w:trPr>
        <w:tc>
          <w:tcPr>
            <w:tcW w:w="9271" w:type="dxa"/>
            <w:gridSpan w:val="5"/>
            <w:vMerge w:val="restart"/>
            <w:hideMark/>
          </w:tcPr>
          <w:p w:rsidR="00C71457" w:rsidRPr="00C71457" w:rsidRDefault="00C71457" w:rsidP="00C71457">
            <w:pPr>
              <w:jc w:val="both"/>
              <w:rPr>
                <w:rFonts w:ascii="Corbel" w:hAnsi="Corbel"/>
                <w:sz w:val="20"/>
              </w:rPr>
            </w:pPr>
            <w:r w:rsidRPr="00C71457">
              <w:rPr>
                <w:rFonts w:ascii="Corbel" w:hAnsi="Corbel"/>
                <w:sz w:val="20"/>
              </w:rPr>
              <w:t>Out of the 36 States of the federation and the FCT, 28 States have a Statistical Master-plans for the development of statistics in their States. 21 States have had their Statistics Edict (Law) passed by their State Houses of Assembly and assented to by their governors, of the 21 with 19 have gone a step further establish their state bureaus of statistics and appointed state statistician generals. Lagos and Plateau States have appointed statistician generals but have not statistical law in place</w:t>
            </w:r>
          </w:p>
        </w:tc>
      </w:tr>
      <w:tr w:rsidR="00C71457" w:rsidRPr="00C71457" w:rsidTr="00C71457">
        <w:trPr>
          <w:trHeight w:val="502"/>
        </w:trPr>
        <w:tc>
          <w:tcPr>
            <w:tcW w:w="9271" w:type="dxa"/>
            <w:gridSpan w:val="5"/>
            <w:vMerge/>
            <w:hideMark/>
          </w:tcPr>
          <w:p w:rsidR="00C71457" w:rsidRPr="00C71457" w:rsidRDefault="00C71457">
            <w:pPr>
              <w:rPr>
                <w:rFonts w:ascii="Corbel" w:hAnsi="Corbel"/>
                <w:sz w:val="20"/>
              </w:rPr>
            </w:pPr>
          </w:p>
        </w:tc>
      </w:tr>
      <w:tr w:rsidR="00C71457" w:rsidRPr="00C71457" w:rsidTr="00C71457">
        <w:trPr>
          <w:trHeight w:val="295"/>
        </w:trPr>
        <w:tc>
          <w:tcPr>
            <w:tcW w:w="2466" w:type="dxa"/>
            <w:hideMark/>
          </w:tcPr>
          <w:p w:rsidR="00C71457" w:rsidRPr="00C71457" w:rsidRDefault="00C71457">
            <w:pPr>
              <w:rPr>
                <w:rFonts w:ascii="Corbel" w:hAnsi="Corbel"/>
                <w:b/>
                <w:bCs/>
                <w:sz w:val="20"/>
              </w:rPr>
            </w:pPr>
            <w:r w:rsidRPr="00C71457">
              <w:rPr>
                <w:rFonts w:ascii="Corbel" w:hAnsi="Corbel"/>
                <w:b/>
                <w:bCs/>
                <w:sz w:val="20"/>
              </w:rPr>
              <w:t>State</w:t>
            </w:r>
          </w:p>
        </w:tc>
        <w:tc>
          <w:tcPr>
            <w:tcW w:w="2192" w:type="dxa"/>
            <w:noWrap/>
            <w:hideMark/>
          </w:tcPr>
          <w:p w:rsidR="00C71457" w:rsidRPr="00C71457" w:rsidRDefault="00C71457">
            <w:pPr>
              <w:rPr>
                <w:rFonts w:ascii="Corbel" w:hAnsi="Corbel"/>
                <w:b/>
                <w:sz w:val="20"/>
              </w:rPr>
            </w:pPr>
            <w:r w:rsidRPr="00C71457">
              <w:rPr>
                <w:rFonts w:ascii="Corbel" w:hAnsi="Corbel"/>
                <w:b/>
                <w:sz w:val="20"/>
              </w:rPr>
              <w:t>State Statistical Master Plan in Place</w:t>
            </w:r>
          </w:p>
        </w:tc>
        <w:tc>
          <w:tcPr>
            <w:tcW w:w="1604" w:type="dxa"/>
            <w:noWrap/>
            <w:hideMark/>
          </w:tcPr>
          <w:p w:rsidR="00C71457" w:rsidRPr="00C71457" w:rsidRDefault="00C71457">
            <w:pPr>
              <w:rPr>
                <w:rFonts w:ascii="Corbel" w:hAnsi="Corbel"/>
                <w:b/>
                <w:sz w:val="20"/>
              </w:rPr>
            </w:pPr>
            <w:r w:rsidRPr="00C71457">
              <w:rPr>
                <w:rFonts w:ascii="Corbel" w:hAnsi="Corbel"/>
                <w:b/>
                <w:sz w:val="20"/>
              </w:rPr>
              <w:t>Passed Statistics Edict (Law)</w:t>
            </w:r>
          </w:p>
        </w:tc>
        <w:tc>
          <w:tcPr>
            <w:tcW w:w="1457" w:type="dxa"/>
            <w:noWrap/>
            <w:hideMark/>
          </w:tcPr>
          <w:p w:rsidR="00C71457" w:rsidRPr="00C71457" w:rsidRDefault="00C71457" w:rsidP="00C71457">
            <w:pPr>
              <w:rPr>
                <w:rFonts w:ascii="Corbel" w:hAnsi="Corbel"/>
                <w:b/>
                <w:sz w:val="20"/>
              </w:rPr>
            </w:pPr>
            <w:r w:rsidRPr="00C71457">
              <w:rPr>
                <w:rFonts w:ascii="Corbel" w:hAnsi="Corbel"/>
                <w:b/>
                <w:sz w:val="20"/>
              </w:rPr>
              <w:t xml:space="preserve">Established Bureau </w:t>
            </w:r>
          </w:p>
        </w:tc>
        <w:tc>
          <w:tcPr>
            <w:tcW w:w="1550" w:type="dxa"/>
            <w:noWrap/>
            <w:hideMark/>
          </w:tcPr>
          <w:p w:rsidR="00C71457" w:rsidRPr="00C71457" w:rsidRDefault="00C71457">
            <w:pPr>
              <w:rPr>
                <w:rFonts w:ascii="Corbel" w:hAnsi="Corbel"/>
                <w:b/>
                <w:sz w:val="20"/>
              </w:rPr>
            </w:pPr>
            <w:r w:rsidRPr="00C71457">
              <w:rPr>
                <w:rFonts w:ascii="Corbel" w:hAnsi="Corbel"/>
                <w:b/>
                <w:sz w:val="20"/>
              </w:rPr>
              <w:t>Appointed Statistician General</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Abia</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Adamawa</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Akwa</w:t>
            </w:r>
            <w:proofErr w:type="spellEnd"/>
            <w:r w:rsidRPr="00C71457">
              <w:rPr>
                <w:rFonts w:ascii="Corbel" w:hAnsi="Corbel"/>
                <w:sz w:val="20"/>
              </w:rPr>
              <w:t xml:space="preserve"> </w:t>
            </w:r>
            <w:proofErr w:type="spellStart"/>
            <w:r w:rsidRPr="00C71457">
              <w:rPr>
                <w:rFonts w:ascii="Corbel" w:hAnsi="Corbel"/>
                <w:sz w:val="20"/>
              </w:rPr>
              <w:t>ibom</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Anambra</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Bauchi</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Bayelsa</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Benue</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Borno</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Cross River</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Delta</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Ebonyi</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Edo</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Ekiti</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Enugu</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Gombe</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Imo</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Jigawa</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Kaduna</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Kano</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Katsina</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Kebbi</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bookmarkStart w:id="0" w:name="_GoBack"/>
        <w:bookmarkEnd w:id="0"/>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Kogi</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Kwara</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Lagos</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Nasarawa</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Niger</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Ogun</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Ondo</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Osun</w:t>
            </w:r>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Oyo</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Plateau</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Rivers</w:t>
            </w:r>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Sokoto</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Taraba</w:t>
            </w:r>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Yobe</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r w:rsidR="00C71457" w:rsidRPr="00C71457" w:rsidTr="00C71457">
        <w:trPr>
          <w:trHeight w:val="295"/>
        </w:trPr>
        <w:tc>
          <w:tcPr>
            <w:tcW w:w="2466" w:type="dxa"/>
            <w:hideMark/>
          </w:tcPr>
          <w:p w:rsidR="00C71457" w:rsidRPr="00C71457" w:rsidRDefault="00C71457">
            <w:pPr>
              <w:rPr>
                <w:rFonts w:ascii="Corbel" w:hAnsi="Corbel"/>
                <w:sz w:val="20"/>
              </w:rPr>
            </w:pPr>
            <w:proofErr w:type="spellStart"/>
            <w:r w:rsidRPr="00C71457">
              <w:rPr>
                <w:rFonts w:ascii="Corbel" w:hAnsi="Corbel"/>
                <w:sz w:val="20"/>
              </w:rPr>
              <w:t>Zamfara</w:t>
            </w:r>
            <w:proofErr w:type="spellEnd"/>
          </w:p>
        </w:tc>
        <w:tc>
          <w:tcPr>
            <w:tcW w:w="2192" w:type="dxa"/>
            <w:noWrap/>
            <w:hideMark/>
          </w:tcPr>
          <w:p w:rsidR="00C71457" w:rsidRPr="00C71457" w:rsidRDefault="00C71457">
            <w:pPr>
              <w:rPr>
                <w:rFonts w:ascii="Corbel" w:hAnsi="Corbel"/>
                <w:sz w:val="20"/>
              </w:rPr>
            </w:pPr>
            <w:r w:rsidRPr="00C71457">
              <w:rPr>
                <w:rFonts w:ascii="Corbel" w:hAnsi="Corbel"/>
                <w:sz w:val="20"/>
              </w:rPr>
              <w:t>YES</w:t>
            </w:r>
          </w:p>
        </w:tc>
        <w:tc>
          <w:tcPr>
            <w:tcW w:w="1604" w:type="dxa"/>
            <w:noWrap/>
            <w:hideMark/>
          </w:tcPr>
          <w:p w:rsidR="00C71457" w:rsidRPr="00C71457" w:rsidRDefault="00C71457">
            <w:pPr>
              <w:rPr>
                <w:rFonts w:ascii="Corbel" w:hAnsi="Corbel"/>
                <w:sz w:val="20"/>
              </w:rPr>
            </w:pPr>
            <w:r w:rsidRPr="00C71457">
              <w:rPr>
                <w:rFonts w:ascii="Corbel" w:hAnsi="Corbel"/>
                <w:sz w:val="20"/>
              </w:rPr>
              <w:t>YES</w:t>
            </w:r>
          </w:p>
        </w:tc>
        <w:tc>
          <w:tcPr>
            <w:tcW w:w="1457" w:type="dxa"/>
            <w:noWrap/>
            <w:hideMark/>
          </w:tcPr>
          <w:p w:rsidR="00C71457" w:rsidRPr="00C71457" w:rsidRDefault="00C71457">
            <w:pPr>
              <w:rPr>
                <w:rFonts w:ascii="Corbel" w:hAnsi="Corbel"/>
                <w:sz w:val="20"/>
              </w:rPr>
            </w:pPr>
            <w:r w:rsidRPr="00C71457">
              <w:rPr>
                <w:rFonts w:ascii="Corbel" w:hAnsi="Corbel"/>
                <w:sz w:val="20"/>
              </w:rPr>
              <w:t>YES</w:t>
            </w:r>
          </w:p>
        </w:tc>
        <w:tc>
          <w:tcPr>
            <w:tcW w:w="1550" w:type="dxa"/>
            <w:noWrap/>
            <w:hideMark/>
          </w:tcPr>
          <w:p w:rsidR="00C71457" w:rsidRPr="00C71457" w:rsidRDefault="00C71457">
            <w:pPr>
              <w:rPr>
                <w:rFonts w:ascii="Corbel" w:hAnsi="Corbel"/>
                <w:sz w:val="20"/>
              </w:rPr>
            </w:pPr>
            <w:r w:rsidRPr="00C71457">
              <w:rPr>
                <w:rFonts w:ascii="Corbel" w:hAnsi="Corbel"/>
                <w:sz w:val="20"/>
              </w:rPr>
              <w:t>YES</w:t>
            </w:r>
          </w:p>
        </w:tc>
      </w:tr>
      <w:tr w:rsidR="00C71457" w:rsidRPr="00C71457" w:rsidTr="00C71457">
        <w:trPr>
          <w:trHeight w:val="295"/>
        </w:trPr>
        <w:tc>
          <w:tcPr>
            <w:tcW w:w="2466" w:type="dxa"/>
            <w:hideMark/>
          </w:tcPr>
          <w:p w:rsidR="00C71457" w:rsidRPr="00C71457" w:rsidRDefault="00C71457">
            <w:pPr>
              <w:rPr>
                <w:rFonts w:ascii="Corbel" w:hAnsi="Corbel"/>
                <w:sz w:val="20"/>
              </w:rPr>
            </w:pPr>
            <w:r w:rsidRPr="00C71457">
              <w:rPr>
                <w:rFonts w:ascii="Corbel" w:hAnsi="Corbel"/>
                <w:sz w:val="20"/>
              </w:rPr>
              <w:t>FCT (Abuja)</w:t>
            </w:r>
          </w:p>
        </w:tc>
        <w:tc>
          <w:tcPr>
            <w:tcW w:w="2192" w:type="dxa"/>
            <w:noWrap/>
            <w:hideMark/>
          </w:tcPr>
          <w:p w:rsidR="00C71457" w:rsidRPr="00C71457" w:rsidRDefault="00C71457">
            <w:pPr>
              <w:rPr>
                <w:rFonts w:ascii="Corbel" w:hAnsi="Corbel"/>
                <w:sz w:val="20"/>
              </w:rPr>
            </w:pPr>
            <w:r w:rsidRPr="00C71457">
              <w:rPr>
                <w:rFonts w:ascii="Corbel" w:hAnsi="Corbel"/>
                <w:sz w:val="20"/>
              </w:rPr>
              <w:t>NO</w:t>
            </w:r>
          </w:p>
        </w:tc>
        <w:tc>
          <w:tcPr>
            <w:tcW w:w="1604" w:type="dxa"/>
            <w:noWrap/>
            <w:hideMark/>
          </w:tcPr>
          <w:p w:rsidR="00C71457" w:rsidRPr="00C71457" w:rsidRDefault="00C71457">
            <w:pPr>
              <w:rPr>
                <w:rFonts w:ascii="Corbel" w:hAnsi="Corbel"/>
                <w:sz w:val="20"/>
              </w:rPr>
            </w:pPr>
            <w:r w:rsidRPr="00C71457">
              <w:rPr>
                <w:rFonts w:ascii="Corbel" w:hAnsi="Corbel"/>
                <w:sz w:val="20"/>
              </w:rPr>
              <w:t>NO</w:t>
            </w:r>
          </w:p>
        </w:tc>
        <w:tc>
          <w:tcPr>
            <w:tcW w:w="1457" w:type="dxa"/>
            <w:noWrap/>
            <w:hideMark/>
          </w:tcPr>
          <w:p w:rsidR="00C71457" w:rsidRPr="00C71457" w:rsidRDefault="00C71457">
            <w:pPr>
              <w:rPr>
                <w:rFonts w:ascii="Corbel" w:hAnsi="Corbel"/>
                <w:sz w:val="20"/>
              </w:rPr>
            </w:pPr>
            <w:r w:rsidRPr="00C71457">
              <w:rPr>
                <w:rFonts w:ascii="Corbel" w:hAnsi="Corbel"/>
                <w:sz w:val="20"/>
              </w:rPr>
              <w:t>NO</w:t>
            </w:r>
          </w:p>
        </w:tc>
        <w:tc>
          <w:tcPr>
            <w:tcW w:w="1550" w:type="dxa"/>
            <w:noWrap/>
            <w:hideMark/>
          </w:tcPr>
          <w:p w:rsidR="00C71457" w:rsidRPr="00C71457" w:rsidRDefault="00C71457">
            <w:pPr>
              <w:rPr>
                <w:rFonts w:ascii="Corbel" w:hAnsi="Corbel"/>
                <w:sz w:val="20"/>
              </w:rPr>
            </w:pPr>
            <w:r w:rsidRPr="00C71457">
              <w:rPr>
                <w:rFonts w:ascii="Corbel" w:hAnsi="Corbel"/>
                <w:sz w:val="20"/>
              </w:rPr>
              <w:t>NO</w:t>
            </w:r>
          </w:p>
        </w:tc>
      </w:tr>
    </w:tbl>
    <w:p w:rsidR="003B77B6" w:rsidRDefault="003B77B6" w:rsidP="00C71457"/>
    <w:sectPr w:rsidR="003B7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57"/>
    <w:rsid w:val="003B77B6"/>
    <w:rsid w:val="00C71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A1CAD"/>
  <w15:chartTrackingRefBased/>
  <w15:docId w15:val="{9C23E477-3275-4A1D-BF53-0C0403C0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1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763406">
      <w:bodyDiv w:val="1"/>
      <w:marLeft w:val="0"/>
      <w:marRight w:val="0"/>
      <w:marTop w:val="0"/>
      <w:marBottom w:val="0"/>
      <w:divBdr>
        <w:top w:val="none" w:sz="0" w:space="0" w:color="auto"/>
        <w:left w:val="none" w:sz="0" w:space="0" w:color="auto"/>
        <w:bottom w:val="none" w:sz="0" w:space="0" w:color="auto"/>
        <w:right w:val="none" w:sz="0" w:space="0" w:color="auto"/>
      </w:divBdr>
    </w:div>
    <w:div w:id="159416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Emuesiri Ojo</dc:creator>
  <cp:keywords/>
  <dc:description/>
  <cp:lastModifiedBy>Emuesiri Ojo</cp:lastModifiedBy>
  <cp:revision>1</cp:revision>
  <dcterms:created xsi:type="dcterms:W3CDTF">2016-08-23T07:43:00Z</dcterms:created>
  <dcterms:modified xsi:type="dcterms:W3CDTF">2016-08-23T07:46:00Z</dcterms:modified>
</cp:coreProperties>
</file>