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1C" w:rsidRDefault="00DC0C1C" w:rsidP="00DC0C1C">
      <w:pPr>
        <w:spacing w:line="360" w:lineRule="auto"/>
        <w:jc w:val="center"/>
        <w:rPr>
          <w:rFonts w:ascii="Garamond" w:hAnsi="Garamond"/>
          <w:noProof/>
          <w:color w:val="008080"/>
          <w:kern w:val="32"/>
          <w:sz w:val="26"/>
          <w:szCs w:val="26"/>
          <w:lang w:eastAsia="en-GB"/>
        </w:rPr>
      </w:pPr>
      <w:bookmarkStart w:id="0" w:name="_GoBack"/>
      <w:bookmarkEnd w:id="0"/>
      <w:r>
        <w:rPr>
          <w:rFonts w:ascii="Garamond" w:hAnsi="Garamond"/>
          <w:noProof/>
          <w:color w:val="008080"/>
          <w:kern w:val="32"/>
          <w:sz w:val="26"/>
          <w:szCs w:val="26"/>
        </w:rPr>
        <w:drawing>
          <wp:inline distT="0" distB="0" distL="0" distR="0">
            <wp:extent cx="2305050" cy="1162050"/>
            <wp:effectExtent l="1905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C1C" w:rsidRDefault="00DC0C1C" w:rsidP="00DC0C1C">
      <w:pPr>
        <w:pStyle w:val="ListParagraph"/>
        <w:spacing w:line="360" w:lineRule="auto"/>
        <w:ind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STATE-SPECIFIC RECOMMENDATIONS</w:t>
      </w:r>
    </w:p>
    <w:p w:rsidR="00DC0C1C" w:rsidRDefault="00DC0C1C" w:rsidP="00DC0C1C">
      <w:pPr>
        <w:pStyle w:val="ListParagraph"/>
        <w:spacing w:line="360" w:lineRule="auto"/>
        <w:ind w:left="0"/>
        <w:jc w:val="center"/>
        <w:rPr>
          <w:rFonts w:ascii="Garamond" w:hAnsi="Garamond"/>
          <w:b/>
          <w:sz w:val="4"/>
          <w:szCs w:val="26"/>
        </w:rPr>
      </w:pPr>
    </w:p>
    <w:p w:rsidR="00DC0C1C" w:rsidRDefault="00DC0C1C" w:rsidP="00DC0C1C">
      <w:pPr>
        <w:pStyle w:val="ListParagraph"/>
        <w:spacing w:before="240" w:line="360" w:lineRule="auto"/>
        <w:ind w:left="0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Scorecard for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Kogi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State</w:t>
      </w:r>
    </w:p>
    <w:p w:rsidR="00DC0C1C" w:rsidRPr="00DC0C1C" w:rsidRDefault="00DC0C1C" w:rsidP="00DC0C1C">
      <w:pPr>
        <w:pStyle w:val="ListParagraph"/>
        <w:spacing w:before="240" w:line="360" w:lineRule="auto"/>
        <w:ind w:left="0"/>
        <w:jc w:val="center"/>
        <w:rPr>
          <w:rFonts w:ascii="Garamond" w:hAnsi="Garamond"/>
          <w:b/>
          <w:sz w:val="18"/>
          <w:szCs w:val="28"/>
          <w:u w:val="single"/>
        </w:rPr>
      </w:pPr>
    </w:p>
    <w:p w:rsidR="000F1154" w:rsidRDefault="000F1154" w:rsidP="00DC0C1C">
      <w:pPr>
        <w:spacing w:line="360" w:lineRule="auto"/>
        <w:jc w:val="both"/>
        <w:rPr>
          <w:rFonts w:ascii="Garamond" w:hAnsi="Garamond"/>
          <w:sz w:val="26"/>
          <w:szCs w:val="26"/>
        </w:rPr>
      </w:pPr>
      <w:proofErr w:type="spellStart"/>
      <w:r w:rsidRPr="00DC0C1C">
        <w:rPr>
          <w:rFonts w:ascii="Garamond" w:hAnsi="Garamond"/>
          <w:sz w:val="26"/>
          <w:szCs w:val="26"/>
        </w:rPr>
        <w:t>Kogi</w:t>
      </w:r>
      <w:proofErr w:type="spellEnd"/>
      <w:r w:rsidR="00843F73" w:rsidRPr="00DC0C1C">
        <w:rPr>
          <w:rFonts w:ascii="Garamond" w:hAnsi="Garamond"/>
          <w:sz w:val="26"/>
          <w:szCs w:val="26"/>
        </w:rPr>
        <w:t xml:space="preserve"> State’s IGR </w:t>
      </w:r>
      <w:r w:rsidR="00DC0C1C">
        <w:rPr>
          <w:rFonts w:ascii="Garamond" w:hAnsi="Garamond"/>
          <w:sz w:val="26"/>
          <w:szCs w:val="26"/>
        </w:rPr>
        <w:t>rose</w:t>
      </w:r>
      <w:r w:rsidR="00843F73" w:rsidRPr="00DC0C1C">
        <w:rPr>
          <w:rFonts w:ascii="Garamond" w:hAnsi="Garamond"/>
          <w:sz w:val="26"/>
          <w:szCs w:val="26"/>
        </w:rPr>
        <w:t xml:space="preserve"> from N2.2</w:t>
      </w:r>
      <w:r w:rsidRPr="00DC0C1C">
        <w:rPr>
          <w:rFonts w:ascii="Garamond" w:hAnsi="Garamond"/>
          <w:sz w:val="26"/>
          <w:szCs w:val="26"/>
        </w:rPr>
        <w:t xml:space="preserve"> billion in 2010 to </w:t>
      </w:r>
      <w:r w:rsidR="00843F73" w:rsidRPr="00DC0C1C">
        <w:rPr>
          <w:rFonts w:ascii="Garamond" w:hAnsi="Garamond"/>
          <w:sz w:val="26"/>
          <w:szCs w:val="26"/>
        </w:rPr>
        <w:t>N</w:t>
      </w:r>
      <w:r w:rsidRPr="00DC0C1C">
        <w:rPr>
          <w:rFonts w:ascii="Garamond" w:hAnsi="Garamond"/>
          <w:sz w:val="26"/>
          <w:szCs w:val="26"/>
        </w:rPr>
        <w:t>6.</w:t>
      </w:r>
      <w:r w:rsidR="00843F73" w:rsidRPr="00DC0C1C">
        <w:rPr>
          <w:rFonts w:ascii="Garamond" w:hAnsi="Garamond"/>
          <w:sz w:val="26"/>
          <w:szCs w:val="26"/>
        </w:rPr>
        <w:t xml:space="preserve">6 </w:t>
      </w:r>
      <w:r w:rsidRPr="00DC0C1C">
        <w:rPr>
          <w:rFonts w:ascii="Garamond" w:hAnsi="Garamond"/>
          <w:sz w:val="26"/>
          <w:szCs w:val="26"/>
        </w:rPr>
        <w:t xml:space="preserve">billion in </w:t>
      </w:r>
      <w:r w:rsidR="00843F73" w:rsidRPr="00DC0C1C">
        <w:rPr>
          <w:rFonts w:ascii="Garamond" w:hAnsi="Garamond"/>
          <w:sz w:val="26"/>
          <w:szCs w:val="26"/>
        </w:rPr>
        <w:t xml:space="preserve">2014, </w:t>
      </w:r>
      <w:r w:rsidR="00BA4B20" w:rsidRPr="00DC0C1C">
        <w:rPr>
          <w:rFonts w:ascii="Garamond" w:hAnsi="Garamond"/>
          <w:sz w:val="26"/>
          <w:szCs w:val="26"/>
        </w:rPr>
        <w:t>recording</w:t>
      </w:r>
      <w:r w:rsidR="00DC0C1C">
        <w:rPr>
          <w:rFonts w:ascii="Garamond" w:hAnsi="Garamond"/>
          <w:sz w:val="26"/>
          <w:szCs w:val="26"/>
        </w:rPr>
        <w:t xml:space="preserve"> a commendable 31</w:t>
      </w:r>
      <w:r w:rsidR="00843F73" w:rsidRPr="00DC0C1C">
        <w:rPr>
          <w:rFonts w:ascii="Garamond" w:hAnsi="Garamond"/>
          <w:sz w:val="26"/>
          <w:szCs w:val="26"/>
        </w:rPr>
        <w:t>% g</w:t>
      </w:r>
      <w:r w:rsidRPr="00DC0C1C">
        <w:rPr>
          <w:rFonts w:ascii="Garamond" w:hAnsi="Garamond"/>
          <w:sz w:val="26"/>
          <w:szCs w:val="26"/>
        </w:rPr>
        <w:t xml:space="preserve">rowth </w:t>
      </w:r>
      <w:r w:rsidR="00843F73" w:rsidRPr="00DC0C1C">
        <w:rPr>
          <w:rFonts w:ascii="Garamond" w:hAnsi="Garamond"/>
          <w:sz w:val="26"/>
          <w:szCs w:val="26"/>
        </w:rPr>
        <w:t>rate</w:t>
      </w:r>
      <w:r w:rsidR="007C025B" w:rsidRPr="00DC0C1C">
        <w:rPr>
          <w:rFonts w:ascii="Garamond" w:hAnsi="Garamond"/>
          <w:sz w:val="26"/>
          <w:szCs w:val="26"/>
        </w:rPr>
        <w:t xml:space="preserve"> over the period</w:t>
      </w:r>
      <w:r w:rsidRPr="00DC0C1C">
        <w:rPr>
          <w:rFonts w:ascii="Garamond" w:hAnsi="Garamond"/>
          <w:sz w:val="26"/>
          <w:szCs w:val="26"/>
        </w:rPr>
        <w:t xml:space="preserve">, the highest in the </w:t>
      </w:r>
      <w:r w:rsidR="00843F73" w:rsidRPr="00DC0C1C">
        <w:rPr>
          <w:rFonts w:ascii="Garamond" w:hAnsi="Garamond"/>
          <w:sz w:val="26"/>
          <w:szCs w:val="26"/>
        </w:rPr>
        <w:t xml:space="preserve">North Central </w:t>
      </w:r>
      <w:r w:rsidR="00DC0C1C">
        <w:rPr>
          <w:rFonts w:ascii="Garamond" w:hAnsi="Garamond"/>
          <w:sz w:val="26"/>
          <w:szCs w:val="26"/>
        </w:rPr>
        <w:t>zone</w:t>
      </w:r>
      <w:r w:rsidRPr="00DC0C1C">
        <w:rPr>
          <w:rFonts w:ascii="Garamond" w:hAnsi="Garamond"/>
          <w:sz w:val="26"/>
          <w:szCs w:val="26"/>
        </w:rPr>
        <w:t>.</w:t>
      </w:r>
      <w:r w:rsidR="00843F73" w:rsidRPr="00DC0C1C">
        <w:rPr>
          <w:rFonts w:ascii="Garamond" w:hAnsi="Garamond"/>
          <w:sz w:val="26"/>
          <w:szCs w:val="26"/>
        </w:rPr>
        <w:t xml:space="preserve"> </w:t>
      </w:r>
      <w:r w:rsidRPr="00DC0C1C">
        <w:rPr>
          <w:rFonts w:ascii="Garamond" w:hAnsi="Garamond"/>
          <w:sz w:val="26"/>
          <w:szCs w:val="26"/>
        </w:rPr>
        <w:t xml:space="preserve">This success can be attributed to the strong political will demonstrated by the administration through regular town hall meetings with </w:t>
      </w:r>
      <w:r w:rsidR="007C025B" w:rsidRPr="00DC0C1C">
        <w:rPr>
          <w:rFonts w:ascii="Garamond" w:hAnsi="Garamond"/>
          <w:sz w:val="26"/>
          <w:szCs w:val="26"/>
        </w:rPr>
        <w:t>stakeholders</w:t>
      </w:r>
      <w:r w:rsidRPr="00DC0C1C">
        <w:rPr>
          <w:rFonts w:ascii="Garamond" w:hAnsi="Garamond"/>
          <w:sz w:val="26"/>
          <w:szCs w:val="26"/>
        </w:rPr>
        <w:t xml:space="preserve">, </w:t>
      </w:r>
      <w:r w:rsidR="007C025B" w:rsidRPr="00DC0C1C">
        <w:rPr>
          <w:rFonts w:ascii="Garamond" w:hAnsi="Garamond"/>
          <w:sz w:val="26"/>
          <w:szCs w:val="26"/>
        </w:rPr>
        <w:t xml:space="preserve">and </w:t>
      </w:r>
      <w:r w:rsidRPr="00DC0C1C">
        <w:rPr>
          <w:rFonts w:ascii="Garamond" w:hAnsi="Garamond"/>
          <w:sz w:val="26"/>
          <w:szCs w:val="26"/>
        </w:rPr>
        <w:t xml:space="preserve">partnerships with </w:t>
      </w:r>
      <w:r w:rsidR="00843F73" w:rsidRPr="00DC0C1C">
        <w:rPr>
          <w:rFonts w:ascii="Garamond" w:hAnsi="Garamond"/>
          <w:sz w:val="26"/>
          <w:szCs w:val="26"/>
        </w:rPr>
        <w:t xml:space="preserve">development partners </w:t>
      </w:r>
      <w:r w:rsidR="00D95263" w:rsidRPr="00DC0C1C">
        <w:rPr>
          <w:rFonts w:ascii="Garamond" w:hAnsi="Garamond"/>
          <w:sz w:val="26"/>
          <w:szCs w:val="26"/>
        </w:rPr>
        <w:t>to build the capacity of IRS staff.</w:t>
      </w:r>
      <w:r w:rsidR="00FA20A7" w:rsidRPr="00DC0C1C">
        <w:rPr>
          <w:rFonts w:ascii="Garamond" w:hAnsi="Garamond"/>
          <w:sz w:val="26"/>
          <w:szCs w:val="26"/>
        </w:rPr>
        <w:t xml:space="preserve"> </w:t>
      </w:r>
      <w:r w:rsidR="00DC0C1C">
        <w:rPr>
          <w:rFonts w:ascii="Garamond" w:hAnsi="Garamond"/>
          <w:sz w:val="26"/>
          <w:szCs w:val="26"/>
        </w:rPr>
        <w:t xml:space="preserve"> The State’s </w:t>
      </w:r>
      <w:r w:rsidR="00FA20A7" w:rsidRPr="00DC0C1C">
        <w:rPr>
          <w:rFonts w:ascii="Garamond" w:hAnsi="Garamond"/>
          <w:sz w:val="26"/>
          <w:szCs w:val="26"/>
        </w:rPr>
        <w:t xml:space="preserve">IGR </w:t>
      </w:r>
      <w:r w:rsidR="007C025B" w:rsidRPr="00DC0C1C">
        <w:rPr>
          <w:rFonts w:ascii="Garamond" w:hAnsi="Garamond"/>
          <w:sz w:val="26"/>
          <w:szCs w:val="26"/>
        </w:rPr>
        <w:t xml:space="preserve">however </w:t>
      </w:r>
      <w:r w:rsidR="00FA20A7" w:rsidRPr="00DC0C1C">
        <w:rPr>
          <w:rFonts w:ascii="Garamond" w:hAnsi="Garamond"/>
          <w:sz w:val="26"/>
          <w:szCs w:val="26"/>
        </w:rPr>
        <w:t>remains around 11</w:t>
      </w:r>
      <w:r w:rsidR="007C025B" w:rsidRPr="00DC0C1C">
        <w:rPr>
          <w:rFonts w:ascii="Garamond" w:hAnsi="Garamond"/>
          <w:sz w:val="26"/>
          <w:szCs w:val="26"/>
        </w:rPr>
        <w:t>%</w:t>
      </w:r>
      <w:r w:rsidR="00FA20A7" w:rsidRPr="00DC0C1C">
        <w:rPr>
          <w:rFonts w:ascii="Garamond" w:hAnsi="Garamond"/>
          <w:sz w:val="26"/>
          <w:szCs w:val="26"/>
        </w:rPr>
        <w:t xml:space="preserve"> of </w:t>
      </w:r>
      <w:r w:rsidR="00DC0C1C">
        <w:rPr>
          <w:rFonts w:ascii="Garamond" w:hAnsi="Garamond"/>
          <w:sz w:val="26"/>
          <w:szCs w:val="26"/>
        </w:rPr>
        <w:t>its</w:t>
      </w:r>
      <w:r w:rsidR="00FA20A7" w:rsidRPr="00DC0C1C">
        <w:rPr>
          <w:rFonts w:ascii="Garamond" w:hAnsi="Garamond"/>
          <w:sz w:val="26"/>
          <w:szCs w:val="26"/>
        </w:rPr>
        <w:t xml:space="preserve"> total recurrent revenue</w:t>
      </w:r>
      <w:r w:rsidR="007C025B" w:rsidRPr="00DC0C1C">
        <w:rPr>
          <w:rFonts w:ascii="Garamond" w:hAnsi="Garamond"/>
          <w:sz w:val="26"/>
          <w:szCs w:val="26"/>
        </w:rPr>
        <w:t>,</w:t>
      </w:r>
      <w:r w:rsidR="00FA20A7" w:rsidRPr="00DC0C1C">
        <w:rPr>
          <w:rFonts w:ascii="Garamond" w:hAnsi="Garamond"/>
          <w:sz w:val="26"/>
          <w:szCs w:val="26"/>
        </w:rPr>
        <w:t xml:space="preserve"> </w:t>
      </w:r>
      <w:r w:rsidR="00BC3119" w:rsidRPr="00DC0C1C">
        <w:rPr>
          <w:rFonts w:ascii="Garamond" w:hAnsi="Garamond"/>
          <w:sz w:val="26"/>
          <w:szCs w:val="26"/>
        </w:rPr>
        <w:t xml:space="preserve">as federal transfers have continued to finance </w:t>
      </w:r>
      <w:r w:rsidR="007C025B" w:rsidRPr="00DC0C1C">
        <w:rPr>
          <w:rFonts w:ascii="Garamond" w:hAnsi="Garamond"/>
          <w:sz w:val="26"/>
          <w:szCs w:val="26"/>
        </w:rPr>
        <w:t xml:space="preserve">most of its </w:t>
      </w:r>
      <w:r w:rsidR="00BC3119" w:rsidRPr="00DC0C1C">
        <w:rPr>
          <w:rFonts w:ascii="Garamond" w:hAnsi="Garamond"/>
          <w:sz w:val="26"/>
          <w:szCs w:val="26"/>
        </w:rPr>
        <w:t>budgetary plans.</w:t>
      </w:r>
    </w:p>
    <w:p w:rsidR="00DC0C1C" w:rsidRPr="00460294" w:rsidRDefault="00DC0C1C" w:rsidP="00DC0C1C">
      <w:pPr>
        <w:pStyle w:val="ListParagraph"/>
        <w:spacing w:before="240" w:after="0"/>
        <w:ind w:left="0"/>
        <w:jc w:val="both"/>
        <w:rPr>
          <w:rFonts w:ascii="Garamond" w:hAnsi="Garamond"/>
          <w:sz w:val="26"/>
          <w:szCs w:val="26"/>
        </w:rPr>
      </w:pPr>
    </w:p>
    <w:p w:rsidR="00DC0C1C" w:rsidRPr="00460294" w:rsidRDefault="00DC0C1C" w:rsidP="00DC0C1C">
      <w:pPr>
        <w:jc w:val="center"/>
        <w:rPr>
          <w:rFonts w:ascii="Garamond" w:hAnsi="Garamond"/>
          <w:b/>
          <w:sz w:val="26"/>
          <w:szCs w:val="26"/>
        </w:rPr>
      </w:pPr>
      <w:r w:rsidRPr="00460294">
        <w:rPr>
          <w:rFonts w:ascii="Garamond" w:hAnsi="Garamond"/>
          <w:b/>
          <w:sz w:val="26"/>
          <w:szCs w:val="26"/>
        </w:rPr>
        <w:t>IGR SNAPSHOT IN THE NORTH CENTRAL ZONE (2014)</w:t>
      </w:r>
    </w:p>
    <w:tbl>
      <w:tblPr>
        <w:tblW w:w="10626" w:type="dxa"/>
        <w:jc w:val="center"/>
        <w:tblInd w:w="91" w:type="dxa"/>
        <w:tblLook w:val="04A0" w:firstRow="1" w:lastRow="0" w:firstColumn="1" w:lastColumn="0" w:noHBand="0" w:noVBand="1"/>
      </w:tblPr>
      <w:tblGrid>
        <w:gridCol w:w="737"/>
        <w:gridCol w:w="1529"/>
        <w:gridCol w:w="1776"/>
        <w:gridCol w:w="1889"/>
        <w:gridCol w:w="1281"/>
        <w:gridCol w:w="2177"/>
        <w:gridCol w:w="1237"/>
      </w:tblGrid>
      <w:tr w:rsidR="00DC0C1C" w:rsidRPr="00460294" w:rsidTr="009B6196">
        <w:trPr>
          <w:trHeight w:val="900"/>
          <w:jc w:val="center"/>
        </w:trPr>
        <w:tc>
          <w:tcPr>
            <w:tcW w:w="737" w:type="dxa"/>
            <w:tcBorders>
              <w:top w:val="single" w:sz="4" w:space="0" w:color="4A452A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000000" w:fill="F2F2F2"/>
            <w:noWrap/>
            <w:vAlign w:val="center"/>
            <w:hideMark/>
          </w:tcPr>
          <w:p w:rsidR="00DC0C1C" w:rsidRPr="00460294" w:rsidRDefault="00DC0C1C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S/N</w:t>
            </w:r>
          </w:p>
        </w:tc>
        <w:tc>
          <w:tcPr>
            <w:tcW w:w="1529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noWrap/>
            <w:vAlign w:val="center"/>
            <w:hideMark/>
          </w:tcPr>
          <w:p w:rsidR="00DC0C1C" w:rsidRPr="00460294" w:rsidRDefault="00DC0C1C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1776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DC0C1C" w:rsidRPr="00460294" w:rsidRDefault="00DC0C1C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MONTHLY IGR (N)</w:t>
            </w:r>
          </w:p>
        </w:tc>
        <w:tc>
          <w:tcPr>
            <w:tcW w:w="1889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DC0C1C" w:rsidRPr="00460294" w:rsidRDefault="00DC0C1C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ANNUAL IGR (N)</w:t>
            </w:r>
          </w:p>
        </w:tc>
        <w:tc>
          <w:tcPr>
            <w:tcW w:w="1281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DC0C1C" w:rsidRPr="00460294" w:rsidRDefault="00DC0C1C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5 YR GROWTH RATE</w:t>
            </w:r>
          </w:p>
        </w:tc>
        <w:tc>
          <w:tcPr>
            <w:tcW w:w="2177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DC0C1C" w:rsidRPr="00460294" w:rsidRDefault="00DC0C1C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IGR/RECURRENT REVENUE (%)</w:t>
            </w:r>
          </w:p>
        </w:tc>
        <w:tc>
          <w:tcPr>
            <w:tcW w:w="1237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DC0C1C" w:rsidRPr="00460294" w:rsidRDefault="00DC0C1C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IGR PER CAPITA (N)</w:t>
            </w:r>
          </w:p>
        </w:tc>
      </w:tr>
      <w:tr w:rsidR="00DC0C1C" w:rsidRPr="00460294" w:rsidTr="009B6196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C0C1C" w:rsidRPr="00460294" w:rsidRDefault="00DC0C1C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bookmarkStart w:id="1" w:name="OLE_LINK1" w:colFirst="1" w:colLast="1"/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C0C1C" w:rsidRPr="00460294" w:rsidRDefault="00DC0C1C" w:rsidP="009B619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KWARA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C0C1C" w:rsidRPr="00460294" w:rsidRDefault="00DC0C1C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1,038,376,496.21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C0C1C" w:rsidRPr="00460294" w:rsidRDefault="00DC0C1C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12,460,517,954.55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C0C1C" w:rsidRPr="00460294" w:rsidRDefault="00DC0C1C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14.3%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C0C1C" w:rsidRPr="00460294" w:rsidRDefault="00DC0C1C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21.7%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C0C1C" w:rsidRPr="00460294" w:rsidRDefault="00DC0C1C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4,158.55 </w:t>
            </w:r>
          </w:p>
        </w:tc>
      </w:tr>
      <w:tr w:rsidR="00DC0C1C" w:rsidRPr="00DC0C1C" w:rsidTr="009B6196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C0C1C" w:rsidRPr="00DC0C1C" w:rsidRDefault="00DC0C1C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DC0C1C">
              <w:rPr>
                <w:rFonts w:ascii="Garamond" w:eastAsia="Times New Roman" w:hAnsi="Garamond"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C0C1C" w:rsidRPr="00DC0C1C" w:rsidRDefault="00DC0C1C" w:rsidP="009B619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DC0C1C">
              <w:rPr>
                <w:rFonts w:ascii="Garamond" w:eastAsia="Times New Roman" w:hAnsi="Garamond"/>
                <w:sz w:val="24"/>
                <w:szCs w:val="24"/>
              </w:rPr>
              <w:t xml:space="preserve">BENUE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C0C1C" w:rsidRPr="00DC0C1C" w:rsidRDefault="00DC0C1C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DC0C1C">
              <w:rPr>
                <w:rFonts w:ascii="Garamond" w:eastAsia="Times New Roman" w:hAnsi="Garamond"/>
                <w:sz w:val="24"/>
                <w:szCs w:val="24"/>
              </w:rPr>
              <w:t xml:space="preserve">690,368,763.39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C0C1C" w:rsidRPr="00DC0C1C" w:rsidRDefault="00DC0C1C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DC0C1C">
              <w:rPr>
                <w:rFonts w:ascii="Garamond" w:eastAsia="Times New Roman" w:hAnsi="Garamond"/>
                <w:sz w:val="24"/>
                <w:szCs w:val="24"/>
              </w:rPr>
              <w:t xml:space="preserve">8,284,425,160.72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C0C1C" w:rsidRPr="00DC0C1C" w:rsidRDefault="00DC0C1C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DC0C1C">
              <w:rPr>
                <w:rFonts w:ascii="Garamond" w:eastAsia="Times New Roman" w:hAnsi="Garamond"/>
                <w:sz w:val="24"/>
                <w:szCs w:val="24"/>
              </w:rPr>
              <w:t>4.8%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C0C1C" w:rsidRPr="00DC0C1C" w:rsidRDefault="00DC0C1C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DC0C1C">
              <w:rPr>
                <w:rFonts w:ascii="Garamond" w:eastAsia="Times New Roman" w:hAnsi="Garamond"/>
                <w:sz w:val="24"/>
                <w:szCs w:val="24"/>
              </w:rPr>
              <w:t>12.6%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C0C1C" w:rsidRPr="00DC0C1C" w:rsidRDefault="00DC0C1C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DC0C1C">
              <w:rPr>
                <w:rFonts w:ascii="Garamond" w:eastAsia="Times New Roman" w:hAnsi="Garamond"/>
                <w:sz w:val="24"/>
                <w:szCs w:val="24"/>
              </w:rPr>
              <w:t xml:space="preserve">    1,537.46 </w:t>
            </w:r>
          </w:p>
        </w:tc>
      </w:tr>
      <w:tr w:rsidR="00DC0C1C" w:rsidRPr="00460294" w:rsidTr="009B6196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C0C1C" w:rsidRPr="00460294" w:rsidRDefault="00DC0C1C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C0C1C" w:rsidRPr="00460294" w:rsidRDefault="00DC0C1C" w:rsidP="009B619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PLATEAU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C0C1C" w:rsidRPr="00460294" w:rsidRDefault="00DC0C1C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690,368,763.33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C0C1C" w:rsidRPr="00460294" w:rsidRDefault="00DC0C1C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8,284,425,159.92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C0C1C" w:rsidRPr="00460294" w:rsidRDefault="00DC0C1C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24.9%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C0C1C" w:rsidRPr="00460294" w:rsidRDefault="00DC0C1C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13.4%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C0C1C" w:rsidRPr="00460294" w:rsidRDefault="00DC0C1C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2,087.68 </w:t>
            </w:r>
          </w:p>
        </w:tc>
      </w:tr>
      <w:tr w:rsidR="00DC0C1C" w:rsidRPr="00DC0C1C" w:rsidTr="009B6196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C0C1C" w:rsidRPr="00DC0C1C" w:rsidRDefault="00DC0C1C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DC0C1C">
              <w:rPr>
                <w:rFonts w:ascii="Garamond" w:eastAsia="Times New Roman" w:hAnsi="Garamond"/>
                <w:color w:val="FF0000"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C0C1C" w:rsidRPr="00DC0C1C" w:rsidRDefault="00DC0C1C" w:rsidP="009B6196">
            <w:pPr>
              <w:spacing w:after="0" w:line="240" w:lineRule="auto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DC0C1C">
              <w:rPr>
                <w:rFonts w:ascii="Garamond" w:eastAsia="Times New Roman" w:hAnsi="Garamond"/>
                <w:color w:val="FF0000"/>
                <w:sz w:val="24"/>
                <w:szCs w:val="24"/>
              </w:rPr>
              <w:t>KOGI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C0C1C" w:rsidRPr="00DC0C1C" w:rsidRDefault="00DC0C1C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DC0C1C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547,494,054.46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C0C1C" w:rsidRPr="00DC0C1C" w:rsidRDefault="00DC0C1C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DC0C1C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6,569,928,653.47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C0C1C" w:rsidRPr="00DC0C1C" w:rsidRDefault="00DC0C1C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DC0C1C">
              <w:rPr>
                <w:rFonts w:ascii="Garamond" w:eastAsia="Times New Roman" w:hAnsi="Garamond"/>
                <w:color w:val="FF0000"/>
                <w:sz w:val="24"/>
                <w:szCs w:val="24"/>
              </w:rPr>
              <w:t>31.2%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C0C1C" w:rsidRPr="00DC0C1C" w:rsidRDefault="00DC0C1C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DC0C1C">
              <w:rPr>
                <w:rFonts w:ascii="Garamond" w:eastAsia="Times New Roman" w:hAnsi="Garamond"/>
                <w:color w:val="FF0000"/>
                <w:sz w:val="24"/>
                <w:szCs w:val="24"/>
              </w:rPr>
              <w:t>10.5%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C0C1C" w:rsidRPr="00DC0C1C" w:rsidRDefault="00DC0C1C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DC0C1C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    1,564.97 </w:t>
            </w:r>
          </w:p>
        </w:tc>
      </w:tr>
      <w:tr w:rsidR="00DC0C1C" w:rsidRPr="00460294" w:rsidTr="009B6196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C0C1C" w:rsidRPr="00460294" w:rsidRDefault="00DC0C1C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C0C1C" w:rsidRPr="00460294" w:rsidRDefault="00DC0C1C" w:rsidP="009B619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NIGER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C0C1C" w:rsidRPr="00460294" w:rsidRDefault="00DC0C1C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478,098,752.99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C0C1C" w:rsidRPr="00460294" w:rsidRDefault="00DC0C1C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5,737,185,035.88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C0C1C" w:rsidRPr="00460294" w:rsidRDefault="00DC0C1C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15.2%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C0C1C" w:rsidRPr="00460294" w:rsidRDefault="00DC0C1C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8.7%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C0C1C" w:rsidRPr="00460294" w:rsidRDefault="00DC0C1C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1,110.23 </w:t>
            </w:r>
          </w:p>
        </w:tc>
      </w:tr>
      <w:tr w:rsidR="00DC0C1C" w:rsidRPr="00460294" w:rsidTr="009B6196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C0C1C" w:rsidRPr="00460294" w:rsidRDefault="00DC0C1C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C0C1C" w:rsidRPr="00460294" w:rsidRDefault="00DC0C1C" w:rsidP="009B619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NASARAWA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C0C1C" w:rsidRPr="00460294" w:rsidRDefault="00DC0C1C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340,427,298.81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C0C1C" w:rsidRPr="00460294" w:rsidRDefault="00DC0C1C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4,085,127,585.70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C0C1C" w:rsidRPr="00460294" w:rsidRDefault="00DC0C1C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21.9%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C0C1C" w:rsidRPr="00460294" w:rsidRDefault="00DC0C1C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>8.0%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DC0C1C" w:rsidRPr="00460294" w:rsidRDefault="00DC0C1C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60294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1,725.09 </w:t>
            </w:r>
          </w:p>
        </w:tc>
      </w:tr>
      <w:bookmarkEnd w:id="1"/>
    </w:tbl>
    <w:p w:rsidR="00DC0C1C" w:rsidRPr="00DC0C1C" w:rsidRDefault="00DC0C1C" w:rsidP="00DC0C1C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0F1154" w:rsidRPr="00DC0C1C" w:rsidRDefault="00BC3119" w:rsidP="00DC0C1C">
      <w:pPr>
        <w:spacing w:line="360" w:lineRule="auto"/>
        <w:rPr>
          <w:rFonts w:ascii="Garamond" w:hAnsi="Garamond"/>
          <w:b/>
          <w:sz w:val="26"/>
          <w:szCs w:val="26"/>
        </w:rPr>
      </w:pPr>
      <w:r w:rsidRPr="00DC0C1C">
        <w:rPr>
          <w:rFonts w:ascii="Garamond" w:hAnsi="Garamond"/>
          <w:b/>
          <w:sz w:val="26"/>
          <w:szCs w:val="26"/>
        </w:rPr>
        <w:t xml:space="preserve">Major </w:t>
      </w:r>
      <w:r w:rsidR="00DC0C1C" w:rsidRPr="00DC0C1C">
        <w:rPr>
          <w:rFonts w:ascii="Garamond" w:hAnsi="Garamond"/>
          <w:b/>
          <w:sz w:val="26"/>
          <w:szCs w:val="26"/>
        </w:rPr>
        <w:t xml:space="preserve">Challenges </w:t>
      </w:r>
      <w:r w:rsidRPr="00DC0C1C">
        <w:rPr>
          <w:rFonts w:ascii="Garamond" w:hAnsi="Garamond"/>
          <w:b/>
          <w:sz w:val="26"/>
          <w:szCs w:val="26"/>
        </w:rPr>
        <w:t xml:space="preserve">in </w:t>
      </w:r>
      <w:r w:rsidR="00DC0C1C" w:rsidRPr="00DC0C1C">
        <w:rPr>
          <w:rFonts w:ascii="Garamond" w:hAnsi="Garamond"/>
          <w:b/>
          <w:sz w:val="26"/>
          <w:szCs w:val="26"/>
        </w:rPr>
        <w:t xml:space="preserve">Revenue Generation </w:t>
      </w:r>
    </w:p>
    <w:p w:rsidR="00D74C84" w:rsidRPr="00DC0C1C" w:rsidRDefault="00D95263" w:rsidP="00DC0C1C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Garamond" w:hAnsi="Garamond"/>
          <w:sz w:val="26"/>
          <w:szCs w:val="26"/>
        </w:rPr>
      </w:pPr>
      <w:r w:rsidRPr="00DC0C1C">
        <w:rPr>
          <w:rFonts w:ascii="Garamond" w:hAnsi="Garamond"/>
          <w:sz w:val="26"/>
          <w:szCs w:val="26"/>
        </w:rPr>
        <w:t>The State is yet to have fully automated tax processes</w:t>
      </w:r>
    </w:p>
    <w:p w:rsidR="00D74C84" w:rsidRPr="00DC0C1C" w:rsidRDefault="00D95263" w:rsidP="00DC0C1C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Garamond" w:hAnsi="Garamond"/>
          <w:sz w:val="26"/>
          <w:szCs w:val="26"/>
        </w:rPr>
      </w:pPr>
      <w:r w:rsidRPr="00DC0C1C">
        <w:rPr>
          <w:rFonts w:ascii="Garamond" w:hAnsi="Garamond"/>
          <w:sz w:val="26"/>
          <w:szCs w:val="26"/>
        </w:rPr>
        <w:t>There is still a bulk of the informal sector out of the tax net</w:t>
      </w:r>
    </w:p>
    <w:p w:rsidR="00D95263" w:rsidRPr="00DC0C1C" w:rsidRDefault="00DC0C1C" w:rsidP="00DC0C1C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High incidence of m</w:t>
      </w:r>
      <w:r w:rsidR="00D95263" w:rsidRPr="00DC0C1C">
        <w:rPr>
          <w:rFonts w:ascii="Garamond" w:hAnsi="Garamond"/>
          <w:sz w:val="26"/>
          <w:szCs w:val="26"/>
        </w:rPr>
        <w:t>ul</w:t>
      </w:r>
      <w:r>
        <w:rPr>
          <w:rFonts w:ascii="Garamond" w:hAnsi="Garamond"/>
          <w:sz w:val="26"/>
          <w:szCs w:val="26"/>
        </w:rPr>
        <w:t>tiple taxation across the State</w:t>
      </w:r>
    </w:p>
    <w:p w:rsidR="007376B1" w:rsidRPr="00DC0C1C" w:rsidRDefault="007376B1" w:rsidP="00DC0C1C">
      <w:pPr>
        <w:spacing w:line="360" w:lineRule="auto"/>
        <w:rPr>
          <w:rFonts w:ascii="Garamond" w:hAnsi="Garamond"/>
          <w:b/>
          <w:sz w:val="26"/>
          <w:szCs w:val="26"/>
        </w:rPr>
      </w:pPr>
    </w:p>
    <w:p w:rsidR="008339C7" w:rsidRPr="00DC0C1C" w:rsidRDefault="00BC3119" w:rsidP="00DC0C1C">
      <w:pPr>
        <w:spacing w:line="360" w:lineRule="auto"/>
        <w:rPr>
          <w:rFonts w:ascii="Garamond" w:hAnsi="Garamond"/>
          <w:b/>
          <w:sz w:val="26"/>
          <w:szCs w:val="26"/>
        </w:rPr>
      </w:pPr>
      <w:r w:rsidRPr="00DC0C1C">
        <w:rPr>
          <w:rFonts w:ascii="Garamond" w:hAnsi="Garamond"/>
          <w:b/>
          <w:sz w:val="26"/>
          <w:szCs w:val="26"/>
        </w:rPr>
        <w:t>Action plan proposed by the</w:t>
      </w:r>
      <w:r w:rsidR="0027670B" w:rsidRPr="00DC0C1C">
        <w:rPr>
          <w:rFonts w:ascii="Garamond" w:hAnsi="Garamond"/>
          <w:b/>
          <w:sz w:val="26"/>
          <w:szCs w:val="26"/>
        </w:rPr>
        <w:t xml:space="preserve"> </w:t>
      </w:r>
      <w:r w:rsidRPr="00DC0C1C">
        <w:rPr>
          <w:rFonts w:ascii="Garamond" w:hAnsi="Garamond"/>
          <w:b/>
          <w:sz w:val="26"/>
          <w:szCs w:val="26"/>
        </w:rPr>
        <w:t>State’s delegates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712"/>
        <w:gridCol w:w="2379"/>
        <w:gridCol w:w="2814"/>
        <w:gridCol w:w="1429"/>
        <w:gridCol w:w="2314"/>
      </w:tblGrid>
      <w:tr w:rsidR="008339C7" w:rsidRPr="00DC0C1C" w:rsidTr="00DC0C1C">
        <w:tc>
          <w:tcPr>
            <w:tcW w:w="558" w:type="dxa"/>
            <w:shd w:val="pct5" w:color="auto" w:fill="auto"/>
          </w:tcPr>
          <w:p w:rsidR="008339C7" w:rsidRPr="00DC0C1C" w:rsidRDefault="008339C7" w:rsidP="00DC0C1C">
            <w:pPr>
              <w:spacing w:line="360" w:lineRule="auto"/>
              <w:rPr>
                <w:rFonts w:ascii="Garamond" w:hAnsi="Garamond"/>
                <w:b/>
                <w:sz w:val="26"/>
                <w:szCs w:val="26"/>
              </w:rPr>
            </w:pPr>
            <w:r w:rsidRPr="00DC0C1C">
              <w:rPr>
                <w:rFonts w:ascii="Garamond" w:hAnsi="Garamond"/>
                <w:b/>
                <w:sz w:val="26"/>
                <w:szCs w:val="26"/>
              </w:rPr>
              <w:t>S</w:t>
            </w:r>
            <w:r w:rsidR="00DC0C1C">
              <w:rPr>
                <w:rFonts w:ascii="Garamond" w:hAnsi="Garamond"/>
                <w:b/>
                <w:sz w:val="26"/>
                <w:szCs w:val="26"/>
              </w:rPr>
              <w:t>/</w:t>
            </w:r>
            <w:r w:rsidRPr="00DC0C1C">
              <w:rPr>
                <w:rFonts w:ascii="Garamond" w:hAnsi="Garamond"/>
                <w:b/>
                <w:sz w:val="26"/>
                <w:szCs w:val="26"/>
              </w:rPr>
              <w:t>N</w:t>
            </w:r>
          </w:p>
        </w:tc>
        <w:tc>
          <w:tcPr>
            <w:tcW w:w="2430" w:type="dxa"/>
            <w:shd w:val="pct5" w:color="auto" w:fill="auto"/>
          </w:tcPr>
          <w:p w:rsidR="008339C7" w:rsidRPr="00DC0C1C" w:rsidRDefault="007C40D1" w:rsidP="00DC0C1C">
            <w:pPr>
              <w:spacing w:line="36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DC0C1C">
              <w:rPr>
                <w:rFonts w:ascii="Garamond" w:hAnsi="Garamond"/>
                <w:b/>
                <w:sz w:val="26"/>
                <w:szCs w:val="26"/>
              </w:rPr>
              <w:t>Goals</w:t>
            </w:r>
          </w:p>
        </w:tc>
        <w:tc>
          <w:tcPr>
            <w:tcW w:w="2880" w:type="dxa"/>
            <w:shd w:val="pct5" w:color="auto" w:fill="auto"/>
          </w:tcPr>
          <w:p w:rsidR="008339C7" w:rsidRPr="00DC0C1C" w:rsidRDefault="007C40D1" w:rsidP="00DC0C1C">
            <w:pPr>
              <w:spacing w:line="360" w:lineRule="auto"/>
              <w:rPr>
                <w:rFonts w:ascii="Garamond" w:hAnsi="Garamond"/>
                <w:b/>
                <w:sz w:val="26"/>
                <w:szCs w:val="26"/>
              </w:rPr>
            </w:pPr>
            <w:r w:rsidRPr="00DC0C1C">
              <w:rPr>
                <w:rFonts w:ascii="Garamond" w:hAnsi="Garamond"/>
                <w:b/>
                <w:sz w:val="26"/>
                <w:szCs w:val="26"/>
              </w:rPr>
              <w:t>Reforms required</w:t>
            </w:r>
          </w:p>
        </w:tc>
        <w:tc>
          <w:tcPr>
            <w:tcW w:w="1440" w:type="dxa"/>
            <w:shd w:val="pct5" w:color="auto" w:fill="auto"/>
          </w:tcPr>
          <w:p w:rsidR="008339C7" w:rsidRPr="00DC0C1C" w:rsidRDefault="007C40D1" w:rsidP="00DC0C1C">
            <w:pPr>
              <w:spacing w:line="360" w:lineRule="auto"/>
              <w:rPr>
                <w:rFonts w:ascii="Garamond" w:hAnsi="Garamond"/>
                <w:b/>
                <w:sz w:val="26"/>
                <w:szCs w:val="26"/>
              </w:rPr>
            </w:pPr>
            <w:r w:rsidRPr="00DC0C1C">
              <w:rPr>
                <w:rFonts w:ascii="Garamond" w:hAnsi="Garamond"/>
                <w:b/>
                <w:sz w:val="26"/>
                <w:szCs w:val="26"/>
              </w:rPr>
              <w:t>Timeline</w:t>
            </w:r>
          </w:p>
        </w:tc>
        <w:tc>
          <w:tcPr>
            <w:tcW w:w="2340" w:type="dxa"/>
            <w:shd w:val="pct5" w:color="auto" w:fill="auto"/>
          </w:tcPr>
          <w:p w:rsidR="008339C7" w:rsidRPr="00DC0C1C" w:rsidRDefault="007C40D1" w:rsidP="00DC0C1C">
            <w:pPr>
              <w:spacing w:line="360" w:lineRule="auto"/>
              <w:rPr>
                <w:rFonts w:ascii="Garamond" w:hAnsi="Garamond"/>
                <w:b/>
                <w:sz w:val="26"/>
                <w:szCs w:val="26"/>
              </w:rPr>
            </w:pPr>
            <w:r w:rsidRPr="00DC0C1C">
              <w:rPr>
                <w:rFonts w:ascii="Garamond" w:hAnsi="Garamond"/>
                <w:b/>
                <w:sz w:val="26"/>
                <w:szCs w:val="26"/>
              </w:rPr>
              <w:t>Responsibility</w:t>
            </w:r>
          </w:p>
        </w:tc>
      </w:tr>
      <w:tr w:rsidR="008339C7" w:rsidRPr="00DC0C1C" w:rsidTr="007C025B">
        <w:tc>
          <w:tcPr>
            <w:tcW w:w="558" w:type="dxa"/>
          </w:tcPr>
          <w:p w:rsidR="008339C7" w:rsidRPr="00DC0C1C" w:rsidRDefault="008339C7" w:rsidP="00DC0C1C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DC0C1C">
              <w:rPr>
                <w:rFonts w:ascii="Garamond" w:hAnsi="Garamond"/>
                <w:sz w:val="26"/>
                <w:szCs w:val="26"/>
              </w:rPr>
              <w:t>1.</w:t>
            </w:r>
          </w:p>
        </w:tc>
        <w:tc>
          <w:tcPr>
            <w:tcW w:w="2430" w:type="dxa"/>
          </w:tcPr>
          <w:p w:rsidR="008339C7" w:rsidRPr="00DC0C1C" w:rsidRDefault="008339C7" w:rsidP="00DC0C1C">
            <w:pPr>
              <w:spacing w:line="360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DC0C1C">
              <w:rPr>
                <w:rFonts w:ascii="Garamond" w:hAnsi="Garamond"/>
                <w:sz w:val="26"/>
                <w:szCs w:val="26"/>
              </w:rPr>
              <w:t xml:space="preserve">Full </w:t>
            </w:r>
            <w:r w:rsidR="00BD5694" w:rsidRPr="00DC0C1C">
              <w:rPr>
                <w:rFonts w:ascii="Garamond" w:hAnsi="Garamond"/>
                <w:sz w:val="26"/>
                <w:szCs w:val="26"/>
              </w:rPr>
              <w:t xml:space="preserve">automation </w:t>
            </w:r>
            <w:r w:rsidRPr="00DC0C1C">
              <w:rPr>
                <w:rFonts w:ascii="Garamond" w:hAnsi="Garamond"/>
                <w:sz w:val="26"/>
                <w:szCs w:val="26"/>
              </w:rPr>
              <w:t>of the State</w:t>
            </w:r>
            <w:r w:rsidR="00BD5694" w:rsidRPr="00DC0C1C">
              <w:rPr>
                <w:rFonts w:ascii="Garamond" w:hAnsi="Garamond"/>
                <w:sz w:val="26"/>
                <w:szCs w:val="26"/>
              </w:rPr>
              <w:t>’s</w:t>
            </w:r>
            <w:r w:rsidRPr="00DC0C1C">
              <w:rPr>
                <w:rFonts w:ascii="Garamond" w:hAnsi="Garamond"/>
                <w:sz w:val="26"/>
                <w:szCs w:val="26"/>
              </w:rPr>
              <w:t xml:space="preserve"> IRS operational processes</w:t>
            </w:r>
          </w:p>
        </w:tc>
        <w:tc>
          <w:tcPr>
            <w:tcW w:w="2880" w:type="dxa"/>
          </w:tcPr>
          <w:p w:rsidR="008339C7" w:rsidRPr="00DC0C1C" w:rsidRDefault="008339C7" w:rsidP="00DC0C1C">
            <w:pPr>
              <w:spacing w:line="360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DC0C1C">
              <w:rPr>
                <w:rFonts w:ascii="Garamond" w:hAnsi="Garamond"/>
                <w:sz w:val="26"/>
                <w:szCs w:val="26"/>
              </w:rPr>
              <w:t>Put the necessary laws in place and shop for the required software</w:t>
            </w:r>
          </w:p>
        </w:tc>
        <w:tc>
          <w:tcPr>
            <w:tcW w:w="1440" w:type="dxa"/>
          </w:tcPr>
          <w:p w:rsidR="008339C7" w:rsidRPr="00DC0C1C" w:rsidRDefault="008339C7" w:rsidP="00DC0C1C">
            <w:pPr>
              <w:spacing w:line="360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DC0C1C">
              <w:rPr>
                <w:rFonts w:ascii="Garamond" w:hAnsi="Garamond"/>
                <w:sz w:val="26"/>
                <w:szCs w:val="26"/>
              </w:rPr>
              <w:t>3 months</w:t>
            </w:r>
          </w:p>
          <w:p w:rsidR="008339C7" w:rsidRPr="00DC0C1C" w:rsidRDefault="008339C7" w:rsidP="00DC0C1C">
            <w:pPr>
              <w:spacing w:line="360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DC0C1C">
              <w:rPr>
                <w:rFonts w:ascii="Garamond" w:hAnsi="Garamond"/>
                <w:sz w:val="26"/>
                <w:szCs w:val="26"/>
              </w:rPr>
              <w:t>(February 2016)</w:t>
            </w:r>
          </w:p>
        </w:tc>
        <w:tc>
          <w:tcPr>
            <w:tcW w:w="2340" w:type="dxa"/>
          </w:tcPr>
          <w:p w:rsidR="008339C7" w:rsidRPr="00DC0C1C" w:rsidRDefault="008339C7" w:rsidP="00DC0C1C">
            <w:pPr>
              <w:spacing w:line="360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DC0C1C">
              <w:rPr>
                <w:rFonts w:ascii="Garamond" w:hAnsi="Garamond"/>
                <w:sz w:val="26"/>
                <w:szCs w:val="26"/>
              </w:rPr>
              <w:t>The Governor</w:t>
            </w:r>
            <w:r w:rsidR="007C40D1">
              <w:rPr>
                <w:rFonts w:ascii="Garamond" w:hAnsi="Garamond"/>
                <w:sz w:val="26"/>
                <w:szCs w:val="26"/>
              </w:rPr>
              <w:t>,</w:t>
            </w:r>
          </w:p>
          <w:p w:rsidR="008339C7" w:rsidRPr="00DC0C1C" w:rsidRDefault="008339C7" w:rsidP="00DC0C1C">
            <w:pPr>
              <w:spacing w:line="360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DC0C1C">
              <w:rPr>
                <w:rFonts w:ascii="Garamond" w:hAnsi="Garamond"/>
                <w:sz w:val="26"/>
                <w:szCs w:val="26"/>
              </w:rPr>
              <w:t>Executive Chairman, IRS</w:t>
            </w:r>
          </w:p>
          <w:p w:rsidR="008339C7" w:rsidRPr="00DC0C1C" w:rsidRDefault="007C025B" w:rsidP="00DC0C1C">
            <w:pPr>
              <w:spacing w:line="360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DC0C1C">
              <w:rPr>
                <w:rFonts w:ascii="Garamond" w:hAnsi="Garamond"/>
                <w:sz w:val="26"/>
                <w:szCs w:val="26"/>
              </w:rPr>
              <w:t>O</w:t>
            </w:r>
            <w:r w:rsidR="008339C7" w:rsidRPr="00DC0C1C">
              <w:rPr>
                <w:rFonts w:ascii="Garamond" w:hAnsi="Garamond"/>
                <w:sz w:val="26"/>
                <w:szCs w:val="26"/>
              </w:rPr>
              <w:t>ther Stakeholders</w:t>
            </w:r>
          </w:p>
        </w:tc>
      </w:tr>
      <w:tr w:rsidR="008339C7" w:rsidRPr="00DC0C1C" w:rsidTr="007C025B">
        <w:tc>
          <w:tcPr>
            <w:tcW w:w="558" w:type="dxa"/>
          </w:tcPr>
          <w:p w:rsidR="008339C7" w:rsidRPr="00DC0C1C" w:rsidRDefault="008339C7" w:rsidP="00DC0C1C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DC0C1C">
              <w:rPr>
                <w:rFonts w:ascii="Garamond" w:hAnsi="Garamond"/>
                <w:sz w:val="26"/>
                <w:szCs w:val="26"/>
              </w:rPr>
              <w:t>2.</w:t>
            </w:r>
          </w:p>
        </w:tc>
        <w:tc>
          <w:tcPr>
            <w:tcW w:w="2430" w:type="dxa"/>
          </w:tcPr>
          <w:p w:rsidR="008339C7" w:rsidRPr="00DC0C1C" w:rsidRDefault="008339C7" w:rsidP="00DC0C1C">
            <w:pPr>
              <w:spacing w:line="360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DC0C1C">
              <w:rPr>
                <w:rFonts w:ascii="Garamond" w:hAnsi="Garamond"/>
                <w:sz w:val="26"/>
                <w:szCs w:val="26"/>
              </w:rPr>
              <w:t>Efficient collection of all taxes in the informal sector in all zones of the State.</w:t>
            </w:r>
          </w:p>
        </w:tc>
        <w:tc>
          <w:tcPr>
            <w:tcW w:w="2880" w:type="dxa"/>
          </w:tcPr>
          <w:p w:rsidR="008339C7" w:rsidRPr="00DC0C1C" w:rsidRDefault="008339C7" w:rsidP="00DC0C1C">
            <w:pPr>
              <w:spacing w:line="360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DC0C1C">
              <w:rPr>
                <w:rFonts w:ascii="Garamond" w:hAnsi="Garamond"/>
                <w:sz w:val="26"/>
                <w:szCs w:val="26"/>
              </w:rPr>
              <w:t xml:space="preserve">Full enumeration of tax payers in the informal sector across the </w:t>
            </w:r>
            <w:r w:rsidR="00BD5694" w:rsidRPr="00DC0C1C">
              <w:rPr>
                <w:rFonts w:ascii="Garamond" w:hAnsi="Garamond"/>
                <w:sz w:val="26"/>
                <w:szCs w:val="26"/>
              </w:rPr>
              <w:t>State</w:t>
            </w:r>
          </w:p>
        </w:tc>
        <w:tc>
          <w:tcPr>
            <w:tcW w:w="1440" w:type="dxa"/>
          </w:tcPr>
          <w:p w:rsidR="008339C7" w:rsidRPr="00DC0C1C" w:rsidRDefault="008339C7" w:rsidP="00DC0C1C">
            <w:pPr>
              <w:spacing w:line="360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DC0C1C">
              <w:rPr>
                <w:rFonts w:ascii="Garamond" w:hAnsi="Garamond"/>
                <w:sz w:val="26"/>
                <w:szCs w:val="26"/>
              </w:rPr>
              <w:t>3 months</w:t>
            </w:r>
          </w:p>
          <w:p w:rsidR="008339C7" w:rsidRPr="00DC0C1C" w:rsidRDefault="008339C7" w:rsidP="00DC0C1C">
            <w:pPr>
              <w:spacing w:line="360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DC0C1C">
              <w:rPr>
                <w:rFonts w:ascii="Garamond" w:hAnsi="Garamond"/>
                <w:sz w:val="26"/>
                <w:szCs w:val="26"/>
              </w:rPr>
              <w:t>(February 2016)</w:t>
            </w:r>
          </w:p>
        </w:tc>
        <w:tc>
          <w:tcPr>
            <w:tcW w:w="2340" w:type="dxa"/>
          </w:tcPr>
          <w:p w:rsidR="008339C7" w:rsidRPr="00DC0C1C" w:rsidRDefault="008339C7" w:rsidP="00DC0C1C">
            <w:pPr>
              <w:spacing w:line="360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DC0C1C">
              <w:rPr>
                <w:rFonts w:ascii="Garamond" w:hAnsi="Garamond"/>
                <w:sz w:val="26"/>
                <w:szCs w:val="26"/>
              </w:rPr>
              <w:t>The Governor</w:t>
            </w:r>
            <w:r w:rsidR="007C40D1">
              <w:rPr>
                <w:rFonts w:ascii="Garamond" w:hAnsi="Garamond"/>
                <w:sz w:val="26"/>
                <w:szCs w:val="26"/>
              </w:rPr>
              <w:t>,</w:t>
            </w:r>
          </w:p>
          <w:p w:rsidR="008339C7" w:rsidRPr="00DC0C1C" w:rsidRDefault="008339C7" w:rsidP="00DC0C1C">
            <w:pPr>
              <w:spacing w:line="360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DC0C1C">
              <w:rPr>
                <w:rFonts w:ascii="Garamond" w:hAnsi="Garamond"/>
                <w:sz w:val="26"/>
                <w:szCs w:val="26"/>
              </w:rPr>
              <w:t>Executive Chairman, IRS</w:t>
            </w:r>
          </w:p>
          <w:p w:rsidR="008339C7" w:rsidRPr="00DC0C1C" w:rsidRDefault="008339C7" w:rsidP="00DC0C1C">
            <w:pPr>
              <w:spacing w:line="360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DC0C1C">
              <w:rPr>
                <w:rFonts w:ascii="Garamond" w:hAnsi="Garamond"/>
                <w:sz w:val="26"/>
                <w:szCs w:val="26"/>
              </w:rPr>
              <w:t>Other Stakeholders</w:t>
            </w:r>
          </w:p>
        </w:tc>
      </w:tr>
    </w:tbl>
    <w:p w:rsidR="008339C7" w:rsidRPr="00DC0C1C" w:rsidRDefault="008339C7" w:rsidP="00DC0C1C">
      <w:pPr>
        <w:spacing w:line="360" w:lineRule="auto"/>
        <w:rPr>
          <w:rFonts w:ascii="Garamond" w:hAnsi="Garamond"/>
          <w:b/>
          <w:sz w:val="26"/>
          <w:szCs w:val="26"/>
        </w:rPr>
      </w:pPr>
    </w:p>
    <w:sectPr w:rsidR="008339C7" w:rsidRPr="00DC0C1C" w:rsidSect="00BC3119">
      <w:footerReference w:type="default" r:id="rId9"/>
      <w:pgSz w:w="12240" w:h="15840"/>
      <w:pgMar w:top="90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DD6" w:rsidRDefault="00E93DD6" w:rsidP="007C025B">
      <w:pPr>
        <w:spacing w:after="0" w:line="240" w:lineRule="auto"/>
      </w:pPr>
      <w:r>
        <w:separator/>
      </w:r>
    </w:p>
  </w:endnote>
  <w:endnote w:type="continuationSeparator" w:id="0">
    <w:p w:rsidR="00E93DD6" w:rsidRDefault="00E93DD6" w:rsidP="007C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</w:rPr>
      <w:id w:val="30678613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7C025B" w:rsidRPr="007C40D1" w:rsidRDefault="00DC0C1C" w:rsidP="007C40D1">
            <w:pPr>
              <w:pStyle w:val="Footer"/>
              <w:jc w:val="right"/>
              <w:rPr>
                <w:rFonts w:ascii="Garamond" w:hAnsi="Garamond"/>
              </w:rPr>
            </w:pPr>
            <w:r w:rsidRPr="007C40D1">
              <w:rPr>
                <w:rFonts w:ascii="Garamond" w:hAnsi="Garamond"/>
              </w:rPr>
              <w:t xml:space="preserve">Page </w:t>
            </w:r>
            <w:r w:rsidRPr="007C40D1">
              <w:rPr>
                <w:rFonts w:ascii="Garamond" w:hAnsi="Garamond"/>
                <w:b/>
              </w:rPr>
              <w:fldChar w:fldCharType="begin"/>
            </w:r>
            <w:r w:rsidRPr="007C40D1">
              <w:rPr>
                <w:rFonts w:ascii="Garamond" w:hAnsi="Garamond"/>
                <w:b/>
              </w:rPr>
              <w:instrText xml:space="preserve"> PAGE </w:instrText>
            </w:r>
            <w:r w:rsidRPr="007C40D1">
              <w:rPr>
                <w:rFonts w:ascii="Garamond" w:hAnsi="Garamond"/>
                <w:b/>
              </w:rPr>
              <w:fldChar w:fldCharType="separate"/>
            </w:r>
            <w:r w:rsidR="0021381A">
              <w:rPr>
                <w:rFonts w:ascii="Garamond" w:hAnsi="Garamond"/>
                <w:b/>
                <w:noProof/>
              </w:rPr>
              <w:t>1</w:t>
            </w:r>
            <w:r w:rsidRPr="007C40D1">
              <w:rPr>
                <w:rFonts w:ascii="Garamond" w:hAnsi="Garamond"/>
                <w:b/>
              </w:rPr>
              <w:fldChar w:fldCharType="end"/>
            </w:r>
            <w:r w:rsidRPr="007C40D1">
              <w:rPr>
                <w:rFonts w:ascii="Garamond" w:hAnsi="Garamond"/>
              </w:rPr>
              <w:t xml:space="preserve"> of </w:t>
            </w:r>
            <w:r w:rsidRPr="007C40D1">
              <w:rPr>
                <w:rFonts w:ascii="Garamond" w:hAnsi="Garamond"/>
                <w:b/>
              </w:rPr>
              <w:fldChar w:fldCharType="begin"/>
            </w:r>
            <w:r w:rsidRPr="007C40D1">
              <w:rPr>
                <w:rFonts w:ascii="Garamond" w:hAnsi="Garamond"/>
                <w:b/>
              </w:rPr>
              <w:instrText xml:space="preserve"> NUMPAGES  </w:instrText>
            </w:r>
            <w:r w:rsidRPr="007C40D1">
              <w:rPr>
                <w:rFonts w:ascii="Garamond" w:hAnsi="Garamond"/>
                <w:b/>
              </w:rPr>
              <w:fldChar w:fldCharType="separate"/>
            </w:r>
            <w:r w:rsidR="0021381A">
              <w:rPr>
                <w:rFonts w:ascii="Garamond" w:hAnsi="Garamond"/>
                <w:b/>
                <w:noProof/>
              </w:rPr>
              <w:t>2</w:t>
            </w:r>
            <w:r w:rsidRPr="007C40D1">
              <w:rPr>
                <w:rFonts w:ascii="Garamond" w:hAnsi="Garamond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DD6" w:rsidRDefault="00E93DD6" w:rsidP="007C025B">
      <w:pPr>
        <w:spacing w:after="0" w:line="240" w:lineRule="auto"/>
      </w:pPr>
      <w:r>
        <w:separator/>
      </w:r>
    </w:p>
  </w:footnote>
  <w:footnote w:type="continuationSeparator" w:id="0">
    <w:p w:rsidR="00E93DD6" w:rsidRDefault="00E93DD6" w:rsidP="007C0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1985"/>
    <w:multiLevelType w:val="hybridMultilevel"/>
    <w:tmpl w:val="8CF883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33E06"/>
    <w:multiLevelType w:val="hybridMultilevel"/>
    <w:tmpl w:val="6EDA1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40DC7"/>
    <w:multiLevelType w:val="hybridMultilevel"/>
    <w:tmpl w:val="A16C29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37C2D"/>
    <w:multiLevelType w:val="hybridMultilevel"/>
    <w:tmpl w:val="463E4882"/>
    <w:lvl w:ilvl="0" w:tplc="F37A15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7E"/>
    <w:rsid w:val="000F1154"/>
    <w:rsid w:val="001F73F0"/>
    <w:rsid w:val="0021381A"/>
    <w:rsid w:val="00266CC9"/>
    <w:rsid w:val="0027670B"/>
    <w:rsid w:val="002B0ECC"/>
    <w:rsid w:val="004A3805"/>
    <w:rsid w:val="00650DF6"/>
    <w:rsid w:val="007376B1"/>
    <w:rsid w:val="007C025B"/>
    <w:rsid w:val="007C40D1"/>
    <w:rsid w:val="008339C7"/>
    <w:rsid w:val="00843F73"/>
    <w:rsid w:val="00865CFD"/>
    <w:rsid w:val="00943A1A"/>
    <w:rsid w:val="00A1546C"/>
    <w:rsid w:val="00AA7E3A"/>
    <w:rsid w:val="00BA4B20"/>
    <w:rsid w:val="00BC3119"/>
    <w:rsid w:val="00BD5694"/>
    <w:rsid w:val="00C90B7E"/>
    <w:rsid w:val="00CF49AD"/>
    <w:rsid w:val="00D74C84"/>
    <w:rsid w:val="00D95263"/>
    <w:rsid w:val="00DB1AF6"/>
    <w:rsid w:val="00DC0C1C"/>
    <w:rsid w:val="00DC3B11"/>
    <w:rsid w:val="00E93DD6"/>
    <w:rsid w:val="00EA038C"/>
    <w:rsid w:val="00FA2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9C7"/>
    <w:pPr>
      <w:ind w:left="720"/>
      <w:contextualSpacing/>
    </w:pPr>
  </w:style>
  <w:style w:type="table" w:styleId="TableGrid">
    <w:name w:val="Table Grid"/>
    <w:basedOn w:val="TableNormal"/>
    <w:uiPriority w:val="39"/>
    <w:rsid w:val="00833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0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25B"/>
  </w:style>
  <w:style w:type="paragraph" w:styleId="Footer">
    <w:name w:val="footer"/>
    <w:basedOn w:val="Normal"/>
    <w:link w:val="FooterChar"/>
    <w:uiPriority w:val="99"/>
    <w:unhideWhenUsed/>
    <w:rsid w:val="007C0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9C7"/>
    <w:pPr>
      <w:ind w:left="720"/>
      <w:contextualSpacing/>
    </w:pPr>
  </w:style>
  <w:style w:type="table" w:styleId="TableGrid">
    <w:name w:val="Table Grid"/>
    <w:basedOn w:val="TableNormal"/>
    <w:uiPriority w:val="39"/>
    <w:rsid w:val="00833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0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25B"/>
  </w:style>
  <w:style w:type="paragraph" w:styleId="Footer">
    <w:name w:val="footer"/>
    <w:basedOn w:val="Normal"/>
    <w:link w:val="FooterChar"/>
    <w:uiPriority w:val="99"/>
    <w:unhideWhenUsed/>
    <w:rsid w:val="007C0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OSIWA 2</dc:creator>
  <cp:lastModifiedBy>Chioma</cp:lastModifiedBy>
  <cp:revision>2</cp:revision>
  <dcterms:created xsi:type="dcterms:W3CDTF">2016-02-17T08:31:00Z</dcterms:created>
  <dcterms:modified xsi:type="dcterms:W3CDTF">2016-02-17T08:31:00Z</dcterms:modified>
</cp:coreProperties>
</file>