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DDB" w:rsidRPr="00460294" w:rsidRDefault="006A6DDB" w:rsidP="006A6DDB">
      <w:pPr>
        <w:spacing w:line="360" w:lineRule="auto"/>
        <w:jc w:val="center"/>
        <w:rPr>
          <w:rFonts w:ascii="Garamond" w:hAnsi="Garamond"/>
          <w:noProof/>
          <w:color w:val="008080"/>
          <w:kern w:val="32"/>
          <w:sz w:val="26"/>
          <w:szCs w:val="26"/>
          <w:lang w:eastAsia="en-GB"/>
        </w:rPr>
      </w:pPr>
      <w:bookmarkStart w:id="0" w:name="_GoBack"/>
      <w:bookmarkEnd w:id="0"/>
      <w:r w:rsidRPr="00460294">
        <w:rPr>
          <w:rFonts w:ascii="Garamond" w:hAnsi="Garamond"/>
          <w:noProof/>
          <w:color w:val="008080"/>
          <w:kern w:val="32"/>
          <w:sz w:val="26"/>
          <w:szCs w:val="26"/>
        </w:rPr>
        <w:drawing>
          <wp:inline distT="0" distB="0" distL="0" distR="0">
            <wp:extent cx="2306955" cy="1158875"/>
            <wp:effectExtent l="19050" t="0" r="0" b="0"/>
            <wp:docPr id="3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15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DDB" w:rsidRPr="00460294" w:rsidRDefault="006A6DDB" w:rsidP="006A6DDB">
      <w:pPr>
        <w:pStyle w:val="ListParagraph"/>
        <w:ind w:left="0"/>
        <w:jc w:val="center"/>
        <w:rPr>
          <w:rFonts w:ascii="Garamond" w:hAnsi="Garamond"/>
          <w:b/>
          <w:sz w:val="28"/>
          <w:szCs w:val="28"/>
        </w:rPr>
      </w:pPr>
      <w:r w:rsidRPr="00460294">
        <w:rPr>
          <w:rFonts w:ascii="Garamond" w:hAnsi="Garamond"/>
          <w:b/>
          <w:sz w:val="28"/>
          <w:szCs w:val="28"/>
        </w:rPr>
        <w:t>STATE-SPECIFIC RECOMMENDATIONS</w:t>
      </w:r>
    </w:p>
    <w:p w:rsidR="006A6DDB" w:rsidRPr="00460294" w:rsidRDefault="006A6DDB" w:rsidP="006A6DDB">
      <w:pPr>
        <w:pStyle w:val="ListParagraph"/>
        <w:ind w:left="0"/>
        <w:jc w:val="center"/>
        <w:rPr>
          <w:rFonts w:ascii="Garamond" w:hAnsi="Garamond"/>
          <w:b/>
          <w:sz w:val="16"/>
          <w:szCs w:val="26"/>
        </w:rPr>
      </w:pPr>
    </w:p>
    <w:p w:rsidR="006A6DDB" w:rsidRDefault="006A6DDB" w:rsidP="006A6DDB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28"/>
          <w:szCs w:val="28"/>
          <w:u w:val="single"/>
        </w:rPr>
      </w:pPr>
      <w:r w:rsidRPr="00460294">
        <w:rPr>
          <w:rFonts w:ascii="Garamond" w:hAnsi="Garamond"/>
          <w:b/>
          <w:sz w:val="28"/>
          <w:szCs w:val="28"/>
          <w:u w:val="single"/>
        </w:rPr>
        <w:t xml:space="preserve">Scorecard for </w:t>
      </w:r>
      <w:proofErr w:type="spellStart"/>
      <w:r>
        <w:rPr>
          <w:rFonts w:ascii="Garamond" w:hAnsi="Garamond"/>
          <w:b/>
          <w:sz w:val="28"/>
          <w:szCs w:val="28"/>
          <w:u w:val="single"/>
        </w:rPr>
        <w:t>Borno</w:t>
      </w:r>
      <w:proofErr w:type="spellEnd"/>
      <w:r w:rsidRPr="00460294">
        <w:rPr>
          <w:rFonts w:ascii="Garamond" w:hAnsi="Garamond"/>
          <w:b/>
          <w:sz w:val="28"/>
          <w:szCs w:val="28"/>
          <w:u w:val="single"/>
        </w:rPr>
        <w:t xml:space="preserve"> State</w:t>
      </w:r>
    </w:p>
    <w:p w:rsidR="00011C25" w:rsidRPr="00011C25" w:rsidRDefault="00011C25" w:rsidP="006A6DDB">
      <w:pPr>
        <w:pStyle w:val="ListParagraph"/>
        <w:spacing w:before="240" w:line="360" w:lineRule="auto"/>
        <w:ind w:left="0"/>
        <w:jc w:val="center"/>
        <w:rPr>
          <w:rFonts w:ascii="Garamond" w:hAnsi="Garamond"/>
          <w:b/>
          <w:sz w:val="10"/>
          <w:szCs w:val="28"/>
          <w:u w:val="single"/>
        </w:rPr>
      </w:pPr>
    </w:p>
    <w:p w:rsidR="00404850" w:rsidRDefault="006A6DDB" w:rsidP="006A6DDB">
      <w:pPr>
        <w:spacing w:line="36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IGR accounts for 4.2%</w:t>
      </w:r>
      <w:r w:rsidR="00404850" w:rsidRPr="006A6DDB">
        <w:rPr>
          <w:rFonts w:ascii="Garamond" w:hAnsi="Garamond"/>
          <w:sz w:val="26"/>
          <w:szCs w:val="26"/>
        </w:rPr>
        <w:t xml:space="preserve"> of the total </w:t>
      </w:r>
      <w:r w:rsidR="008A379F" w:rsidRPr="006A6DDB">
        <w:rPr>
          <w:rFonts w:ascii="Garamond" w:hAnsi="Garamond"/>
          <w:sz w:val="26"/>
          <w:szCs w:val="26"/>
        </w:rPr>
        <w:t xml:space="preserve">recurrent </w:t>
      </w:r>
      <w:r w:rsidR="00404850" w:rsidRPr="006A6DDB">
        <w:rPr>
          <w:rFonts w:ascii="Garamond" w:hAnsi="Garamond"/>
          <w:sz w:val="26"/>
          <w:szCs w:val="26"/>
        </w:rPr>
        <w:t xml:space="preserve">revenue </w:t>
      </w:r>
      <w:r w:rsidR="008A379F" w:rsidRPr="006A6DDB">
        <w:rPr>
          <w:rFonts w:ascii="Garamond" w:hAnsi="Garamond"/>
          <w:sz w:val="26"/>
          <w:szCs w:val="26"/>
        </w:rPr>
        <w:t>of</w:t>
      </w:r>
      <w:r w:rsidR="00404850" w:rsidRPr="006A6DDB">
        <w:rPr>
          <w:rFonts w:ascii="Garamond" w:hAnsi="Garamond"/>
          <w:sz w:val="26"/>
          <w:szCs w:val="26"/>
        </w:rPr>
        <w:t xml:space="preserve"> the </w:t>
      </w:r>
      <w:r w:rsidR="008A379F" w:rsidRPr="006A6DDB">
        <w:rPr>
          <w:rFonts w:ascii="Garamond" w:hAnsi="Garamond"/>
          <w:sz w:val="26"/>
          <w:szCs w:val="26"/>
        </w:rPr>
        <w:t>State</w:t>
      </w:r>
      <w:r w:rsidR="00404850" w:rsidRPr="006A6DDB">
        <w:rPr>
          <w:rFonts w:ascii="Garamond" w:hAnsi="Garamond"/>
          <w:sz w:val="26"/>
          <w:szCs w:val="26"/>
        </w:rPr>
        <w:t xml:space="preserve">, </w:t>
      </w:r>
      <w:r>
        <w:rPr>
          <w:rFonts w:ascii="Garamond" w:hAnsi="Garamond"/>
          <w:sz w:val="26"/>
          <w:szCs w:val="26"/>
        </w:rPr>
        <w:t>with around</w:t>
      </w:r>
      <w:r w:rsidR="00404850" w:rsidRPr="006A6DDB">
        <w:rPr>
          <w:rFonts w:ascii="Garamond" w:hAnsi="Garamond"/>
          <w:sz w:val="26"/>
          <w:szCs w:val="26"/>
        </w:rPr>
        <w:t xml:space="preserve"> 95</w:t>
      </w:r>
      <w:r>
        <w:rPr>
          <w:rFonts w:ascii="Garamond" w:hAnsi="Garamond"/>
          <w:sz w:val="26"/>
          <w:szCs w:val="26"/>
        </w:rPr>
        <w:t>.8%</w:t>
      </w:r>
      <w:r w:rsidR="00404850" w:rsidRPr="006A6DDB">
        <w:rPr>
          <w:rFonts w:ascii="Garamond" w:hAnsi="Garamond"/>
          <w:sz w:val="26"/>
          <w:szCs w:val="26"/>
        </w:rPr>
        <w:t xml:space="preserve"> </w:t>
      </w:r>
      <w:r w:rsidR="008A379F" w:rsidRPr="006A6DDB">
        <w:rPr>
          <w:rFonts w:ascii="Garamond" w:hAnsi="Garamond"/>
          <w:sz w:val="26"/>
          <w:szCs w:val="26"/>
        </w:rPr>
        <w:t>sourced from federa</w:t>
      </w:r>
      <w:r w:rsidR="00B24943" w:rsidRPr="006A6DDB">
        <w:rPr>
          <w:rFonts w:ascii="Garamond" w:hAnsi="Garamond"/>
          <w:sz w:val="26"/>
          <w:szCs w:val="26"/>
        </w:rPr>
        <w:t>tion</w:t>
      </w:r>
      <w:r w:rsidR="008A379F" w:rsidRPr="006A6DDB">
        <w:rPr>
          <w:rFonts w:ascii="Garamond" w:hAnsi="Garamond"/>
          <w:sz w:val="26"/>
          <w:szCs w:val="26"/>
        </w:rPr>
        <w:t xml:space="preserve"> transfers</w:t>
      </w:r>
      <w:r w:rsidR="00404850" w:rsidRPr="006A6DDB">
        <w:rPr>
          <w:rFonts w:ascii="Garamond" w:hAnsi="Garamond"/>
          <w:sz w:val="26"/>
          <w:szCs w:val="26"/>
        </w:rPr>
        <w:t xml:space="preserve">. </w:t>
      </w:r>
      <w:r w:rsidR="00B24943" w:rsidRPr="006A6DDB">
        <w:rPr>
          <w:rFonts w:ascii="Garamond" w:hAnsi="Garamond"/>
          <w:sz w:val="26"/>
          <w:szCs w:val="26"/>
        </w:rPr>
        <w:t>In the l</w:t>
      </w:r>
      <w:r w:rsidR="008A379F" w:rsidRPr="006A6DDB">
        <w:rPr>
          <w:rFonts w:ascii="Garamond" w:hAnsi="Garamond"/>
          <w:sz w:val="26"/>
          <w:szCs w:val="26"/>
        </w:rPr>
        <w:t xml:space="preserve">ast 5 years, </w:t>
      </w:r>
      <w:r w:rsidR="007023DB" w:rsidRPr="006A6DDB">
        <w:rPr>
          <w:rFonts w:ascii="Garamond" w:hAnsi="Garamond"/>
          <w:sz w:val="26"/>
          <w:szCs w:val="26"/>
        </w:rPr>
        <w:t xml:space="preserve">IGR grew </w:t>
      </w:r>
      <w:r w:rsidR="00404850" w:rsidRPr="006A6DDB">
        <w:rPr>
          <w:rFonts w:ascii="Garamond" w:hAnsi="Garamond"/>
          <w:sz w:val="26"/>
          <w:szCs w:val="26"/>
        </w:rPr>
        <w:t>by</w:t>
      </w:r>
      <w:r w:rsidR="007023DB" w:rsidRPr="006A6DDB">
        <w:rPr>
          <w:rFonts w:ascii="Garamond" w:hAnsi="Garamond"/>
          <w:sz w:val="26"/>
          <w:szCs w:val="26"/>
        </w:rPr>
        <w:t xml:space="preserve"> 7</w:t>
      </w:r>
      <w:r>
        <w:rPr>
          <w:rFonts w:ascii="Garamond" w:hAnsi="Garamond"/>
          <w:sz w:val="26"/>
          <w:szCs w:val="26"/>
        </w:rPr>
        <w:t>%</w:t>
      </w:r>
      <w:r w:rsidR="007023DB" w:rsidRPr="006A6DDB">
        <w:rPr>
          <w:rFonts w:ascii="Garamond" w:hAnsi="Garamond"/>
          <w:sz w:val="26"/>
          <w:szCs w:val="26"/>
        </w:rPr>
        <w:t xml:space="preserve"> f</w:t>
      </w:r>
      <w:r w:rsidR="008A379F" w:rsidRPr="006A6DDB">
        <w:rPr>
          <w:rFonts w:ascii="Garamond" w:hAnsi="Garamond"/>
          <w:sz w:val="26"/>
          <w:szCs w:val="26"/>
        </w:rPr>
        <w:t xml:space="preserve">rom N2.1 billion </w:t>
      </w:r>
      <w:r>
        <w:rPr>
          <w:rFonts w:ascii="Garamond" w:hAnsi="Garamond"/>
          <w:sz w:val="26"/>
          <w:szCs w:val="26"/>
        </w:rPr>
        <w:t xml:space="preserve">in 2010 </w:t>
      </w:r>
      <w:r w:rsidR="008A379F" w:rsidRPr="006A6DDB">
        <w:rPr>
          <w:rFonts w:ascii="Garamond" w:hAnsi="Garamond"/>
          <w:sz w:val="26"/>
          <w:szCs w:val="26"/>
        </w:rPr>
        <w:t>to N2.8 billion</w:t>
      </w:r>
      <w:r>
        <w:rPr>
          <w:rFonts w:ascii="Garamond" w:hAnsi="Garamond"/>
          <w:sz w:val="26"/>
          <w:szCs w:val="26"/>
        </w:rPr>
        <w:t xml:space="preserve"> in 2014. The State’s monthly IGR is the lowest in the </w:t>
      </w:r>
      <w:r w:rsidR="00011C25">
        <w:rPr>
          <w:rFonts w:ascii="Garamond" w:hAnsi="Garamond"/>
          <w:sz w:val="26"/>
          <w:szCs w:val="26"/>
        </w:rPr>
        <w:t>country, as it recorded only N230 million in 2014.</w:t>
      </w:r>
      <w:r>
        <w:rPr>
          <w:rFonts w:ascii="Garamond" w:hAnsi="Garamond"/>
          <w:sz w:val="26"/>
          <w:szCs w:val="26"/>
        </w:rPr>
        <w:t xml:space="preserve"> </w:t>
      </w:r>
      <w:r w:rsidR="00011C25">
        <w:rPr>
          <w:rFonts w:ascii="Garamond" w:hAnsi="Garamond"/>
          <w:sz w:val="26"/>
          <w:szCs w:val="26"/>
        </w:rPr>
        <w:t>Its IGR per capita is just over N500.</w:t>
      </w:r>
    </w:p>
    <w:p w:rsidR="006A6DDB" w:rsidRPr="006A6DDB" w:rsidRDefault="006A6DDB" w:rsidP="006A6DDB">
      <w:pPr>
        <w:rPr>
          <w:rFonts w:ascii="Garamond" w:hAnsi="Garamond"/>
          <w:b/>
        </w:rPr>
      </w:pPr>
    </w:p>
    <w:p w:rsidR="006A6DDB" w:rsidRPr="006A6DDB" w:rsidRDefault="006A6DDB" w:rsidP="006A6DDB">
      <w:pPr>
        <w:jc w:val="center"/>
        <w:rPr>
          <w:rFonts w:ascii="Garamond" w:hAnsi="Garamond"/>
          <w:b/>
          <w:sz w:val="26"/>
          <w:szCs w:val="26"/>
        </w:rPr>
      </w:pPr>
      <w:r w:rsidRPr="006A6DDB">
        <w:rPr>
          <w:rFonts w:ascii="Garamond" w:hAnsi="Garamond"/>
          <w:b/>
          <w:sz w:val="26"/>
          <w:szCs w:val="26"/>
        </w:rPr>
        <w:t>IGR SNAPSHOT IN THE NORTH EAST ZONE (2014)</w:t>
      </w:r>
    </w:p>
    <w:tbl>
      <w:tblPr>
        <w:tblW w:w="10277" w:type="dxa"/>
        <w:jc w:val="center"/>
        <w:tblInd w:w="91" w:type="dxa"/>
        <w:tblLook w:val="04A0" w:firstRow="1" w:lastRow="0" w:firstColumn="1" w:lastColumn="0" w:noHBand="0" w:noVBand="1"/>
      </w:tblPr>
      <w:tblGrid>
        <w:gridCol w:w="737"/>
        <w:gridCol w:w="1464"/>
        <w:gridCol w:w="1633"/>
        <w:gridCol w:w="1776"/>
        <w:gridCol w:w="1281"/>
        <w:gridCol w:w="2177"/>
        <w:gridCol w:w="1209"/>
      </w:tblGrid>
      <w:tr w:rsidR="006A6DDB" w:rsidRPr="006A6DDB" w:rsidTr="006A6DDB">
        <w:trPr>
          <w:trHeight w:val="900"/>
          <w:jc w:val="center"/>
        </w:trPr>
        <w:tc>
          <w:tcPr>
            <w:tcW w:w="737" w:type="dxa"/>
            <w:tcBorders>
              <w:top w:val="single" w:sz="4" w:space="0" w:color="4A452A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6A6DDB" w:rsidRPr="006A6DDB" w:rsidRDefault="006A6DDB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S/N</w:t>
            </w:r>
          </w:p>
        </w:tc>
        <w:tc>
          <w:tcPr>
            <w:tcW w:w="1464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noWrap/>
            <w:vAlign w:val="center"/>
            <w:hideMark/>
          </w:tcPr>
          <w:p w:rsidR="006A6DDB" w:rsidRPr="006A6DDB" w:rsidRDefault="006A6DDB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633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6A6DDB" w:rsidRPr="006A6DDB" w:rsidRDefault="006A6DDB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MONTHLY IGR (N)</w:t>
            </w:r>
          </w:p>
        </w:tc>
        <w:tc>
          <w:tcPr>
            <w:tcW w:w="1776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6A6DDB" w:rsidRPr="006A6DDB" w:rsidRDefault="006A6DDB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ANNUAL IGR (N)</w:t>
            </w:r>
          </w:p>
        </w:tc>
        <w:tc>
          <w:tcPr>
            <w:tcW w:w="1281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6A6DDB" w:rsidRPr="006A6DDB" w:rsidRDefault="006A6DDB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5 YR GROWTH RATE</w:t>
            </w:r>
          </w:p>
        </w:tc>
        <w:tc>
          <w:tcPr>
            <w:tcW w:w="2177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6A6DDB" w:rsidRPr="006A6DDB" w:rsidRDefault="006A6DDB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IGR/RECURRENT REVENUE (%)</w:t>
            </w:r>
          </w:p>
        </w:tc>
        <w:tc>
          <w:tcPr>
            <w:tcW w:w="1209" w:type="dxa"/>
            <w:tcBorders>
              <w:top w:val="single" w:sz="4" w:space="0" w:color="4A452A"/>
              <w:left w:val="nil"/>
              <w:bottom w:val="single" w:sz="4" w:space="0" w:color="4A452A"/>
              <w:right w:val="single" w:sz="4" w:space="0" w:color="4A452A"/>
            </w:tcBorders>
            <w:shd w:val="clear" w:color="000000" w:fill="F2F2F2"/>
            <w:vAlign w:val="center"/>
            <w:hideMark/>
          </w:tcPr>
          <w:p w:rsidR="006A6DDB" w:rsidRPr="006A6DDB" w:rsidRDefault="006A6DDB" w:rsidP="00B10CFD">
            <w:pPr>
              <w:spacing w:after="0" w:line="240" w:lineRule="auto"/>
              <w:jc w:val="center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IGR PER CAPITA (N)</w:t>
            </w:r>
          </w:p>
        </w:tc>
      </w:tr>
      <w:tr w:rsidR="006A6DDB" w:rsidRPr="006A6DDB" w:rsidTr="006A6DDB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GOMBE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433,038,365.16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5,196,460,381.93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15.2%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9.8%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1,707.78 </w:t>
            </w:r>
          </w:p>
        </w:tc>
      </w:tr>
      <w:tr w:rsidR="006A6DDB" w:rsidRPr="006A6DDB" w:rsidTr="006A6DDB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ADAMAWA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416,206,823.40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4,994,481,880.78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4.4%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8.9%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1,249.93 </w:t>
            </w:r>
          </w:p>
        </w:tc>
      </w:tr>
      <w:tr w:rsidR="006A6DDB" w:rsidRPr="006A6DDB" w:rsidTr="006A6DDB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BAUCHI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404,454,432.07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4,853,453,184.87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9.3%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7.4%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798.27 </w:t>
            </w:r>
          </w:p>
        </w:tc>
      </w:tr>
      <w:tr w:rsidR="006A6DDB" w:rsidRPr="006A6DDB" w:rsidTr="006A6DDB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TARABA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316,586,739.46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3,799,040,873.48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31.1%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7.2%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1,317.06 </w:t>
            </w:r>
          </w:p>
        </w:tc>
      </w:tr>
      <w:tr w:rsidR="006A6DDB" w:rsidRPr="006A6DDB" w:rsidTr="006A6DDB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YOBE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256,148,346.74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3,073,780,160.87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-15.3%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>5.8%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00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000000"/>
                <w:sz w:val="24"/>
                <w:szCs w:val="24"/>
              </w:rPr>
              <w:t xml:space="preserve">1,005.57 </w:t>
            </w:r>
          </w:p>
        </w:tc>
      </w:tr>
      <w:tr w:rsidR="006A6DDB" w:rsidRPr="006A6DDB" w:rsidTr="006A6DDB">
        <w:trPr>
          <w:trHeight w:val="315"/>
          <w:jc w:val="center"/>
        </w:trPr>
        <w:tc>
          <w:tcPr>
            <w:tcW w:w="737" w:type="dxa"/>
            <w:tcBorders>
              <w:top w:val="nil"/>
              <w:left w:val="single" w:sz="4" w:space="0" w:color="4A452A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FF0000"/>
                <w:sz w:val="24"/>
                <w:szCs w:val="24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BORNO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230,064,481.58 </w:t>
            </w:r>
          </w:p>
        </w:tc>
        <w:tc>
          <w:tcPr>
            <w:tcW w:w="1776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2,760,773,778.99 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FF0000"/>
                <w:sz w:val="24"/>
                <w:szCs w:val="24"/>
              </w:rPr>
              <w:t>7.0%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FF0000"/>
                <w:sz w:val="24"/>
                <w:szCs w:val="24"/>
              </w:rPr>
              <w:t>4.2%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4A452A"/>
              <w:right w:val="single" w:sz="4" w:space="0" w:color="4A452A"/>
            </w:tcBorders>
            <w:shd w:val="clear" w:color="auto" w:fill="auto"/>
            <w:noWrap/>
            <w:vAlign w:val="bottom"/>
            <w:hideMark/>
          </w:tcPr>
          <w:p w:rsidR="006A6DDB" w:rsidRPr="006A6DDB" w:rsidRDefault="006A6DDB" w:rsidP="00B10CFD">
            <w:pPr>
              <w:spacing w:after="0" w:line="240" w:lineRule="auto"/>
              <w:jc w:val="right"/>
              <w:rPr>
                <w:rFonts w:ascii="Garamond" w:eastAsia="Times New Roman" w:hAnsi="Garamond"/>
                <w:color w:val="FF0000"/>
                <w:sz w:val="24"/>
                <w:szCs w:val="24"/>
              </w:rPr>
            </w:pPr>
            <w:r w:rsidRPr="006A6DDB">
              <w:rPr>
                <w:rFonts w:ascii="Garamond" w:eastAsia="Times New Roman" w:hAnsi="Garamond"/>
                <w:color w:val="FF0000"/>
                <w:sz w:val="24"/>
                <w:szCs w:val="24"/>
              </w:rPr>
              <w:t xml:space="preserve">506.54 </w:t>
            </w:r>
          </w:p>
        </w:tc>
      </w:tr>
    </w:tbl>
    <w:p w:rsidR="006A6DDB" w:rsidRPr="006A6DDB" w:rsidRDefault="006A6DDB" w:rsidP="006A6DDB">
      <w:pPr>
        <w:spacing w:line="360" w:lineRule="auto"/>
        <w:jc w:val="both"/>
        <w:rPr>
          <w:rFonts w:ascii="Garamond" w:hAnsi="Garamond"/>
          <w:sz w:val="26"/>
          <w:szCs w:val="26"/>
        </w:rPr>
      </w:pPr>
    </w:p>
    <w:p w:rsidR="00251BF3" w:rsidRPr="006A6DDB" w:rsidRDefault="008A379F" w:rsidP="006A6DDB">
      <w:pPr>
        <w:spacing w:line="360" w:lineRule="auto"/>
        <w:rPr>
          <w:rFonts w:ascii="Garamond" w:hAnsi="Garamond"/>
          <w:b/>
          <w:sz w:val="26"/>
          <w:szCs w:val="26"/>
          <w:lang w:val="en-GB"/>
        </w:rPr>
      </w:pPr>
      <w:r w:rsidRPr="006A6DDB">
        <w:rPr>
          <w:rFonts w:ascii="Garamond" w:hAnsi="Garamond"/>
          <w:b/>
          <w:sz w:val="26"/>
          <w:szCs w:val="26"/>
          <w:lang w:val="en-GB"/>
        </w:rPr>
        <w:t>Commendable Practices</w:t>
      </w:r>
      <w:r w:rsidR="00404850" w:rsidRPr="006A6DDB">
        <w:rPr>
          <w:rFonts w:ascii="Garamond" w:hAnsi="Garamond"/>
          <w:b/>
          <w:sz w:val="26"/>
          <w:szCs w:val="26"/>
          <w:lang w:val="en-GB"/>
        </w:rPr>
        <w:t>:</w:t>
      </w:r>
    </w:p>
    <w:p w:rsidR="00251BF3" w:rsidRPr="006A6DDB" w:rsidRDefault="00251BF3" w:rsidP="006A6DDB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  <w:lang w:val="en-GB"/>
        </w:rPr>
      </w:pPr>
      <w:r w:rsidRPr="006A6DDB">
        <w:rPr>
          <w:rFonts w:ascii="Garamond" w:hAnsi="Garamond"/>
          <w:sz w:val="26"/>
          <w:szCs w:val="26"/>
          <w:lang w:val="en-GB"/>
        </w:rPr>
        <w:t>Cash payments have been stopped due to misappropriation</w:t>
      </w:r>
      <w:r w:rsidR="0007691C" w:rsidRPr="006A6DDB">
        <w:rPr>
          <w:rFonts w:ascii="Garamond" w:hAnsi="Garamond"/>
          <w:sz w:val="26"/>
          <w:szCs w:val="26"/>
          <w:lang w:val="en-GB"/>
        </w:rPr>
        <w:t xml:space="preserve"> of funds</w:t>
      </w:r>
      <w:r w:rsidRPr="006A6DDB">
        <w:rPr>
          <w:rFonts w:ascii="Garamond" w:hAnsi="Garamond"/>
          <w:sz w:val="26"/>
          <w:szCs w:val="26"/>
          <w:lang w:val="en-GB"/>
        </w:rPr>
        <w:t xml:space="preserve">. </w:t>
      </w:r>
      <w:r w:rsidR="00B24943" w:rsidRPr="006A6DDB">
        <w:rPr>
          <w:rFonts w:ascii="Garamond" w:hAnsi="Garamond"/>
          <w:sz w:val="26"/>
          <w:szCs w:val="26"/>
          <w:lang w:val="en-GB"/>
        </w:rPr>
        <w:t>The IRS now</w:t>
      </w:r>
      <w:r w:rsidRPr="006A6DDB">
        <w:rPr>
          <w:rFonts w:ascii="Garamond" w:hAnsi="Garamond"/>
          <w:sz w:val="26"/>
          <w:szCs w:val="26"/>
          <w:lang w:val="en-GB"/>
        </w:rPr>
        <w:t xml:space="preserve"> use</w:t>
      </w:r>
      <w:r w:rsidR="00B24943" w:rsidRPr="006A6DDB">
        <w:rPr>
          <w:rFonts w:ascii="Garamond" w:hAnsi="Garamond"/>
          <w:sz w:val="26"/>
          <w:szCs w:val="26"/>
          <w:lang w:val="en-GB"/>
        </w:rPr>
        <w:t>s</w:t>
      </w:r>
      <w:r w:rsidRPr="006A6DDB">
        <w:rPr>
          <w:rFonts w:ascii="Garamond" w:hAnsi="Garamond"/>
          <w:sz w:val="26"/>
          <w:szCs w:val="26"/>
          <w:lang w:val="en-GB"/>
        </w:rPr>
        <w:t xml:space="preserve"> bank tellers as evidence of tax payments.</w:t>
      </w:r>
    </w:p>
    <w:p w:rsidR="00251BF3" w:rsidRPr="006A6DDB" w:rsidRDefault="00251BF3" w:rsidP="006A6DDB">
      <w:pPr>
        <w:pStyle w:val="ListParagraph"/>
        <w:numPr>
          <w:ilvl w:val="0"/>
          <w:numId w:val="2"/>
        </w:numPr>
        <w:spacing w:line="360" w:lineRule="auto"/>
        <w:rPr>
          <w:rFonts w:ascii="Garamond" w:hAnsi="Garamond"/>
          <w:sz w:val="26"/>
          <w:szCs w:val="26"/>
        </w:rPr>
      </w:pPr>
      <w:r w:rsidRPr="006A6DDB">
        <w:rPr>
          <w:rFonts w:ascii="Garamond" w:hAnsi="Garamond"/>
          <w:sz w:val="26"/>
          <w:szCs w:val="26"/>
        </w:rPr>
        <w:t>Reliable budget for the activities of the IRS active there. Five percent quarterly revenues from gross tax returns are given to the IRS to carry out various activities.</w:t>
      </w:r>
    </w:p>
    <w:p w:rsidR="00251BF3" w:rsidRPr="006A6DDB" w:rsidRDefault="00251BF3" w:rsidP="006A6DD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6A6DDB">
        <w:rPr>
          <w:rFonts w:ascii="Garamond" w:hAnsi="Garamond"/>
          <w:sz w:val="26"/>
          <w:szCs w:val="26"/>
        </w:rPr>
        <w:t xml:space="preserve">Tax officers are paid on time, given incentives and trained. </w:t>
      </w:r>
    </w:p>
    <w:p w:rsidR="00251BF3" w:rsidRPr="006A6DDB" w:rsidRDefault="00251BF3" w:rsidP="006A6DD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6A6DDB">
        <w:rPr>
          <w:rFonts w:ascii="Garamond" w:hAnsi="Garamond"/>
          <w:sz w:val="26"/>
          <w:szCs w:val="26"/>
        </w:rPr>
        <w:lastRenderedPageBreak/>
        <w:t>Minimum wage laws are in effect.</w:t>
      </w:r>
    </w:p>
    <w:p w:rsidR="00E56D07" w:rsidRPr="006A6DDB" w:rsidRDefault="00B05034" w:rsidP="006A6DDB">
      <w:pPr>
        <w:pStyle w:val="ListParagraph"/>
        <w:numPr>
          <w:ilvl w:val="0"/>
          <w:numId w:val="1"/>
        </w:numPr>
        <w:spacing w:line="360" w:lineRule="auto"/>
        <w:rPr>
          <w:rFonts w:ascii="Garamond" w:hAnsi="Garamond"/>
          <w:sz w:val="26"/>
          <w:szCs w:val="26"/>
        </w:rPr>
      </w:pPr>
      <w:r w:rsidRPr="006A6DDB">
        <w:rPr>
          <w:rFonts w:ascii="Garamond" w:hAnsi="Garamond"/>
          <w:sz w:val="26"/>
          <w:szCs w:val="26"/>
        </w:rPr>
        <w:t>The IRS has</w:t>
      </w:r>
      <w:r w:rsidR="004E086A" w:rsidRPr="006A6DDB">
        <w:rPr>
          <w:rFonts w:ascii="Garamond" w:hAnsi="Garamond"/>
          <w:sz w:val="26"/>
          <w:szCs w:val="26"/>
        </w:rPr>
        <w:t xml:space="preserve"> adequate outreach offices</w:t>
      </w:r>
    </w:p>
    <w:p w:rsidR="001B23B8" w:rsidRPr="006A6DDB" w:rsidRDefault="001B23B8" w:rsidP="006A6DDB">
      <w:pPr>
        <w:pStyle w:val="ListParagraph"/>
        <w:spacing w:line="360" w:lineRule="auto"/>
        <w:rPr>
          <w:rFonts w:ascii="Garamond" w:hAnsi="Garamond"/>
          <w:sz w:val="26"/>
          <w:szCs w:val="26"/>
        </w:rPr>
      </w:pPr>
    </w:p>
    <w:p w:rsidR="00251BF3" w:rsidRPr="006A6DDB" w:rsidRDefault="008A379F" w:rsidP="006A6DDB">
      <w:pPr>
        <w:spacing w:line="360" w:lineRule="auto"/>
        <w:rPr>
          <w:rFonts w:ascii="Garamond" w:hAnsi="Garamond"/>
          <w:b/>
          <w:sz w:val="26"/>
          <w:szCs w:val="26"/>
        </w:rPr>
      </w:pPr>
      <w:r w:rsidRPr="006A6DDB">
        <w:rPr>
          <w:rFonts w:ascii="Garamond" w:hAnsi="Garamond"/>
          <w:b/>
          <w:sz w:val="26"/>
          <w:szCs w:val="26"/>
        </w:rPr>
        <w:t xml:space="preserve">Major </w:t>
      </w:r>
      <w:r w:rsidR="00251BF3" w:rsidRPr="006A6DDB">
        <w:rPr>
          <w:rFonts w:ascii="Garamond" w:hAnsi="Garamond"/>
          <w:b/>
          <w:sz w:val="26"/>
          <w:szCs w:val="26"/>
        </w:rPr>
        <w:t>Challenges</w:t>
      </w:r>
      <w:r w:rsidR="00404850" w:rsidRPr="006A6DDB">
        <w:rPr>
          <w:rFonts w:ascii="Garamond" w:hAnsi="Garamond"/>
          <w:b/>
          <w:sz w:val="26"/>
          <w:szCs w:val="26"/>
        </w:rPr>
        <w:t>:</w:t>
      </w:r>
      <w:r w:rsidR="00E56D07" w:rsidRPr="006A6DDB">
        <w:rPr>
          <w:rFonts w:ascii="Garamond" w:hAnsi="Garamond"/>
          <w:b/>
          <w:sz w:val="26"/>
          <w:szCs w:val="26"/>
        </w:rPr>
        <w:t xml:space="preserve"> </w:t>
      </w:r>
    </w:p>
    <w:p w:rsidR="00251BF3" w:rsidRPr="006A6DDB" w:rsidRDefault="00251BF3" w:rsidP="006A6DDB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6"/>
          <w:szCs w:val="26"/>
        </w:rPr>
      </w:pPr>
      <w:r w:rsidRPr="006A6DDB">
        <w:rPr>
          <w:rFonts w:ascii="Garamond" w:hAnsi="Garamond"/>
          <w:sz w:val="26"/>
          <w:szCs w:val="26"/>
        </w:rPr>
        <w:t>Lack of autonomy.</w:t>
      </w:r>
      <w:r w:rsidR="00B05034" w:rsidRPr="006A6DDB">
        <w:rPr>
          <w:rFonts w:ascii="Garamond" w:hAnsi="Garamond"/>
          <w:sz w:val="26"/>
          <w:szCs w:val="26"/>
        </w:rPr>
        <w:t xml:space="preserve"> The Board is</w:t>
      </w:r>
      <w:r w:rsidR="004E086A" w:rsidRPr="006A6DDB">
        <w:rPr>
          <w:rFonts w:ascii="Garamond" w:hAnsi="Garamond"/>
          <w:sz w:val="26"/>
          <w:szCs w:val="26"/>
        </w:rPr>
        <w:t xml:space="preserve"> not independent</w:t>
      </w:r>
    </w:p>
    <w:p w:rsidR="00251BF3" w:rsidRPr="006A6DDB" w:rsidRDefault="00251BF3" w:rsidP="006A6DDB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6"/>
          <w:szCs w:val="26"/>
        </w:rPr>
      </w:pPr>
      <w:r w:rsidRPr="006A6DDB">
        <w:rPr>
          <w:rFonts w:ascii="Garamond" w:hAnsi="Garamond"/>
          <w:sz w:val="26"/>
          <w:szCs w:val="26"/>
        </w:rPr>
        <w:t xml:space="preserve">Tax Identification Number (TIN) has not been </w:t>
      </w:r>
      <w:r w:rsidR="00B05034" w:rsidRPr="006A6DDB">
        <w:rPr>
          <w:rFonts w:ascii="Garamond" w:hAnsi="Garamond"/>
          <w:sz w:val="26"/>
          <w:szCs w:val="26"/>
        </w:rPr>
        <w:t>adopted</w:t>
      </w:r>
    </w:p>
    <w:p w:rsidR="00251BF3" w:rsidRPr="006A6DDB" w:rsidRDefault="00251BF3" w:rsidP="006A6DDB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6"/>
          <w:szCs w:val="26"/>
        </w:rPr>
      </w:pPr>
      <w:r w:rsidRPr="006A6DDB">
        <w:rPr>
          <w:rFonts w:ascii="Garamond" w:hAnsi="Garamond"/>
          <w:sz w:val="26"/>
          <w:szCs w:val="26"/>
        </w:rPr>
        <w:t xml:space="preserve">Lack of </w:t>
      </w:r>
      <w:r w:rsidR="00E56D07" w:rsidRPr="006A6DDB">
        <w:rPr>
          <w:rFonts w:ascii="Garamond" w:hAnsi="Garamond"/>
          <w:sz w:val="26"/>
          <w:szCs w:val="26"/>
        </w:rPr>
        <w:t xml:space="preserve">financial </w:t>
      </w:r>
      <w:r w:rsidR="004E086A" w:rsidRPr="006A6DDB">
        <w:rPr>
          <w:rFonts w:ascii="Garamond" w:hAnsi="Garamond"/>
          <w:sz w:val="26"/>
          <w:szCs w:val="26"/>
        </w:rPr>
        <w:t xml:space="preserve">activities due to </w:t>
      </w:r>
      <w:r w:rsidR="00B05034" w:rsidRPr="006A6DDB">
        <w:rPr>
          <w:rFonts w:ascii="Garamond" w:hAnsi="Garamond"/>
          <w:sz w:val="26"/>
          <w:szCs w:val="26"/>
        </w:rPr>
        <w:t xml:space="preserve">the </w:t>
      </w:r>
      <w:r w:rsidR="004E086A" w:rsidRPr="006A6DDB">
        <w:rPr>
          <w:rFonts w:ascii="Garamond" w:hAnsi="Garamond"/>
          <w:sz w:val="26"/>
          <w:szCs w:val="26"/>
        </w:rPr>
        <w:t>insurgency</w:t>
      </w:r>
      <w:r w:rsidR="00B05034" w:rsidRPr="006A6DDB">
        <w:rPr>
          <w:rFonts w:ascii="Garamond" w:hAnsi="Garamond"/>
          <w:sz w:val="26"/>
          <w:szCs w:val="26"/>
        </w:rPr>
        <w:t xml:space="preserve"> in the North East</w:t>
      </w:r>
    </w:p>
    <w:p w:rsidR="006A6DDB" w:rsidRDefault="00011C25" w:rsidP="006A6DDB">
      <w:pPr>
        <w:pStyle w:val="ListParagraph"/>
        <w:numPr>
          <w:ilvl w:val="0"/>
          <w:numId w:val="3"/>
        </w:numPr>
        <w:spacing w:line="360" w:lineRule="auto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Poor law</w:t>
      </w:r>
      <w:r w:rsidR="00251BF3" w:rsidRPr="006A6DDB">
        <w:rPr>
          <w:rFonts w:ascii="Garamond" w:hAnsi="Garamond"/>
          <w:sz w:val="26"/>
          <w:szCs w:val="26"/>
        </w:rPr>
        <w:t xml:space="preserve"> enforcemen</w:t>
      </w:r>
      <w:r w:rsidR="004E086A" w:rsidRPr="006A6DDB">
        <w:rPr>
          <w:rFonts w:ascii="Garamond" w:hAnsi="Garamond"/>
          <w:sz w:val="26"/>
          <w:szCs w:val="26"/>
        </w:rPr>
        <w:t xml:space="preserve">t against </w:t>
      </w:r>
      <w:r>
        <w:rPr>
          <w:rFonts w:ascii="Garamond" w:hAnsi="Garamond"/>
          <w:sz w:val="26"/>
          <w:szCs w:val="26"/>
        </w:rPr>
        <w:t xml:space="preserve">tax </w:t>
      </w:r>
      <w:r w:rsidR="004E086A" w:rsidRPr="006A6DDB">
        <w:rPr>
          <w:rFonts w:ascii="Garamond" w:hAnsi="Garamond"/>
          <w:sz w:val="26"/>
          <w:szCs w:val="26"/>
        </w:rPr>
        <w:t>defaulters</w:t>
      </w:r>
    </w:p>
    <w:p w:rsidR="006A6DDB" w:rsidRPr="006A6DDB" w:rsidRDefault="006A6DDB" w:rsidP="006A6DDB">
      <w:pPr>
        <w:pStyle w:val="ListParagraph"/>
        <w:spacing w:line="360" w:lineRule="auto"/>
        <w:rPr>
          <w:rFonts w:ascii="Garamond" w:hAnsi="Garamond"/>
          <w:sz w:val="14"/>
          <w:szCs w:val="26"/>
        </w:rPr>
      </w:pPr>
    </w:p>
    <w:p w:rsidR="009523E1" w:rsidRPr="006A6DDB" w:rsidRDefault="006A6DDB" w:rsidP="006A6DDB">
      <w:pPr>
        <w:spacing w:after="0" w:line="360" w:lineRule="auto"/>
        <w:jc w:val="center"/>
        <w:rPr>
          <w:rFonts w:ascii="Garamond" w:hAnsi="Garamond"/>
          <w:b/>
          <w:sz w:val="26"/>
          <w:szCs w:val="26"/>
        </w:rPr>
      </w:pPr>
      <w:r w:rsidRPr="006A6DDB">
        <w:rPr>
          <w:rFonts w:ascii="Garamond" w:hAnsi="Garamond"/>
          <w:b/>
          <w:sz w:val="26"/>
          <w:szCs w:val="26"/>
        </w:rPr>
        <w:t>STATE’S ACTION PLAN</w:t>
      </w:r>
    </w:p>
    <w:tbl>
      <w:tblPr>
        <w:tblStyle w:val="TableGrid"/>
        <w:tblpPr w:leftFromText="180" w:rightFromText="180" w:vertAnchor="text" w:horzAnchor="margin" w:tblpXSpec="center" w:tblpY="189"/>
        <w:tblW w:w="10363" w:type="dxa"/>
        <w:tblLayout w:type="fixed"/>
        <w:tblLook w:val="04A0" w:firstRow="1" w:lastRow="0" w:firstColumn="1" w:lastColumn="0" w:noHBand="0" w:noVBand="1"/>
      </w:tblPr>
      <w:tblGrid>
        <w:gridCol w:w="738"/>
        <w:gridCol w:w="2520"/>
        <w:gridCol w:w="3870"/>
        <w:gridCol w:w="1435"/>
        <w:gridCol w:w="1800"/>
      </w:tblGrid>
      <w:tr w:rsidR="006A6DDB" w:rsidRPr="006A6DDB" w:rsidTr="006A6DDB">
        <w:tc>
          <w:tcPr>
            <w:tcW w:w="738" w:type="dxa"/>
            <w:shd w:val="pct5" w:color="auto" w:fill="auto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6A6DDB">
              <w:rPr>
                <w:rFonts w:ascii="Garamond" w:hAnsi="Garamond"/>
                <w:b/>
                <w:sz w:val="26"/>
                <w:szCs w:val="26"/>
              </w:rPr>
              <w:t>S/N</w:t>
            </w:r>
          </w:p>
        </w:tc>
        <w:tc>
          <w:tcPr>
            <w:tcW w:w="2520" w:type="dxa"/>
            <w:shd w:val="pct5" w:color="auto" w:fill="auto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6A6DDB">
              <w:rPr>
                <w:rFonts w:ascii="Garamond" w:hAnsi="Garamond"/>
                <w:b/>
                <w:sz w:val="26"/>
                <w:szCs w:val="26"/>
              </w:rPr>
              <w:t>Identified Goals</w:t>
            </w:r>
          </w:p>
        </w:tc>
        <w:tc>
          <w:tcPr>
            <w:tcW w:w="3870" w:type="dxa"/>
            <w:shd w:val="pct5" w:color="auto" w:fill="auto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6A6DDB">
              <w:rPr>
                <w:rFonts w:ascii="Garamond" w:hAnsi="Garamond"/>
                <w:b/>
                <w:sz w:val="26"/>
                <w:szCs w:val="26"/>
              </w:rPr>
              <w:t>Actions required to achieve goals</w:t>
            </w:r>
          </w:p>
        </w:tc>
        <w:tc>
          <w:tcPr>
            <w:tcW w:w="1435" w:type="dxa"/>
            <w:shd w:val="pct5" w:color="auto" w:fill="auto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6A6DDB">
              <w:rPr>
                <w:rFonts w:ascii="Garamond" w:hAnsi="Garamond"/>
                <w:b/>
                <w:sz w:val="26"/>
                <w:szCs w:val="26"/>
              </w:rPr>
              <w:t>Timeline</w:t>
            </w:r>
          </w:p>
        </w:tc>
        <w:tc>
          <w:tcPr>
            <w:tcW w:w="1800" w:type="dxa"/>
            <w:shd w:val="pct5" w:color="auto" w:fill="auto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b/>
                <w:sz w:val="26"/>
                <w:szCs w:val="26"/>
              </w:rPr>
            </w:pPr>
            <w:r w:rsidRPr="006A6DDB">
              <w:rPr>
                <w:rFonts w:ascii="Garamond" w:hAnsi="Garamond"/>
                <w:b/>
                <w:sz w:val="26"/>
                <w:szCs w:val="26"/>
              </w:rPr>
              <w:t>Responsibility</w:t>
            </w:r>
          </w:p>
        </w:tc>
      </w:tr>
      <w:tr w:rsidR="006A6DDB" w:rsidRPr="006A6DDB" w:rsidTr="006A6DDB">
        <w:tc>
          <w:tcPr>
            <w:tcW w:w="738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1</w:t>
            </w:r>
          </w:p>
        </w:tc>
        <w:tc>
          <w:tcPr>
            <w:tcW w:w="2520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Political will to enforce all laws. e.g. section 85(4) of PITA</w:t>
            </w:r>
          </w:p>
        </w:tc>
        <w:tc>
          <w:tcPr>
            <w:tcW w:w="3870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State EXCO to make pronouncement on the matter to the MDAs</w:t>
            </w:r>
          </w:p>
        </w:tc>
        <w:tc>
          <w:tcPr>
            <w:tcW w:w="1435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Immediate</w:t>
            </w:r>
          </w:p>
        </w:tc>
        <w:tc>
          <w:tcPr>
            <w:tcW w:w="1800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State EXCO</w:t>
            </w:r>
          </w:p>
        </w:tc>
      </w:tr>
      <w:tr w:rsidR="006A6DDB" w:rsidRPr="006A6DDB" w:rsidTr="006A6DDB">
        <w:tc>
          <w:tcPr>
            <w:tcW w:w="738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2</w:t>
            </w:r>
          </w:p>
        </w:tc>
        <w:tc>
          <w:tcPr>
            <w:tcW w:w="2520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Autonomy of the Board of internal Revenue</w:t>
            </w:r>
          </w:p>
        </w:tc>
        <w:tc>
          <w:tcPr>
            <w:tcW w:w="3870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Formation of the Board of Internal Revenue to include outsiders as required by the provision of the law.</w:t>
            </w:r>
          </w:p>
        </w:tc>
        <w:tc>
          <w:tcPr>
            <w:tcW w:w="1435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Six months</w:t>
            </w:r>
          </w:p>
        </w:tc>
        <w:tc>
          <w:tcPr>
            <w:tcW w:w="1800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State EXCO</w:t>
            </w:r>
          </w:p>
        </w:tc>
      </w:tr>
      <w:tr w:rsidR="006A6DDB" w:rsidRPr="006A6DDB" w:rsidTr="006A6DDB">
        <w:tc>
          <w:tcPr>
            <w:tcW w:w="738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3</w:t>
            </w:r>
          </w:p>
        </w:tc>
        <w:tc>
          <w:tcPr>
            <w:tcW w:w="2520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ICT education of the Board of Internal Revenue</w:t>
            </w:r>
          </w:p>
        </w:tc>
        <w:tc>
          <w:tcPr>
            <w:tcW w:w="3870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Provision of adequate funding to train the Board of Internal Revenue.</w:t>
            </w:r>
          </w:p>
        </w:tc>
        <w:tc>
          <w:tcPr>
            <w:tcW w:w="1435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Six months</w:t>
            </w:r>
          </w:p>
        </w:tc>
        <w:tc>
          <w:tcPr>
            <w:tcW w:w="1800" w:type="dxa"/>
          </w:tcPr>
          <w:p w:rsidR="006A6DDB" w:rsidRPr="006A6DDB" w:rsidRDefault="006A6DDB" w:rsidP="006A6DDB">
            <w:pPr>
              <w:spacing w:line="360" w:lineRule="auto"/>
              <w:rPr>
                <w:rFonts w:ascii="Garamond" w:hAnsi="Garamond"/>
                <w:sz w:val="26"/>
                <w:szCs w:val="26"/>
              </w:rPr>
            </w:pPr>
            <w:r w:rsidRPr="006A6DDB">
              <w:rPr>
                <w:rFonts w:ascii="Garamond" w:hAnsi="Garamond"/>
                <w:sz w:val="26"/>
                <w:szCs w:val="26"/>
              </w:rPr>
              <w:t>State EXCO</w:t>
            </w:r>
          </w:p>
        </w:tc>
      </w:tr>
    </w:tbl>
    <w:p w:rsidR="00251BF3" w:rsidRPr="006A6DDB" w:rsidRDefault="00251BF3" w:rsidP="006A6DDB">
      <w:pPr>
        <w:spacing w:line="360" w:lineRule="auto"/>
        <w:rPr>
          <w:rFonts w:ascii="Garamond" w:hAnsi="Garamond"/>
          <w:sz w:val="26"/>
          <w:szCs w:val="26"/>
        </w:rPr>
      </w:pPr>
    </w:p>
    <w:p w:rsidR="00251BF3" w:rsidRPr="006A6DDB" w:rsidRDefault="00251BF3" w:rsidP="006A6DDB">
      <w:pPr>
        <w:spacing w:line="360" w:lineRule="auto"/>
        <w:rPr>
          <w:rFonts w:ascii="Garamond" w:hAnsi="Garamond"/>
          <w:sz w:val="26"/>
          <w:szCs w:val="26"/>
        </w:rPr>
      </w:pPr>
    </w:p>
    <w:sectPr w:rsidR="00251BF3" w:rsidRPr="006A6DDB" w:rsidSect="008A379F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4D6" w:rsidRDefault="004F24D6" w:rsidP="008A379F">
      <w:pPr>
        <w:spacing w:after="0" w:line="240" w:lineRule="auto"/>
      </w:pPr>
      <w:r>
        <w:separator/>
      </w:r>
    </w:p>
  </w:endnote>
  <w:endnote w:type="continuationSeparator" w:id="0">
    <w:p w:rsidR="004F24D6" w:rsidRDefault="004F24D6" w:rsidP="008A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10675776"/>
      <w:docPartObj>
        <w:docPartGallery w:val="Page Numbers (Bottom of Page)"/>
        <w:docPartUnique/>
      </w:docPartObj>
    </w:sdtPr>
    <w:sdtEndPr/>
    <w:sdtContent>
      <w:sdt>
        <w:sdtPr>
          <w:rPr>
            <w:rFonts w:ascii="Garamond" w:hAnsi="Garamond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11C25" w:rsidRPr="00011C25" w:rsidRDefault="00011C25">
            <w:pPr>
              <w:pStyle w:val="Footer"/>
              <w:jc w:val="right"/>
              <w:rPr>
                <w:rFonts w:ascii="Garamond" w:hAnsi="Garamond"/>
              </w:rPr>
            </w:pPr>
            <w:r w:rsidRPr="00011C25">
              <w:rPr>
                <w:rFonts w:ascii="Garamond" w:hAnsi="Garamond"/>
              </w:rPr>
              <w:t xml:space="preserve">Page </w:t>
            </w:r>
            <w:r w:rsidRPr="00011C25">
              <w:rPr>
                <w:rFonts w:ascii="Garamond" w:hAnsi="Garamond"/>
              </w:rPr>
              <w:fldChar w:fldCharType="begin"/>
            </w:r>
            <w:r w:rsidRPr="00011C25">
              <w:rPr>
                <w:rFonts w:ascii="Garamond" w:hAnsi="Garamond"/>
              </w:rPr>
              <w:instrText xml:space="preserve"> PAGE </w:instrText>
            </w:r>
            <w:r w:rsidRPr="00011C25">
              <w:rPr>
                <w:rFonts w:ascii="Garamond" w:hAnsi="Garamond"/>
              </w:rPr>
              <w:fldChar w:fldCharType="separate"/>
            </w:r>
            <w:r w:rsidR="00BC0126">
              <w:rPr>
                <w:rFonts w:ascii="Garamond" w:hAnsi="Garamond"/>
                <w:noProof/>
              </w:rPr>
              <w:t>1</w:t>
            </w:r>
            <w:r w:rsidRPr="00011C25">
              <w:rPr>
                <w:rFonts w:ascii="Garamond" w:hAnsi="Garamond"/>
              </w:rPr>
              <w:fldChar w:fldCharType="end"/>
            </w:r>
            <w:r w:rsidRPr="00011C25">
              <w:rPr>
                <w:rFonts w:ascii="Garamond" w:hAnsi="Garamond"/>
              </w:rPr>
              <w:t xml:space="preserve"> of </w:t>
            </w:r>
            <w:r w:rsidRPr="00011C25">
              <w:rPr>
                <w:rFonts w:ascii="Garamond" w:hAnsi="Garamond"/>
              </w:rPr>
              <w:fldChar w:fldCharType="begin"/>
            </w:r>
            <w:r w:rsidRPr="00011C25">
              <w:rPr>
                <w:rFonts w:ascii="Garamond" w:hAnsi="Garamond"/>
              </w:rPr>
              <w:instrText xml:space="preserve"> NUMPAGES  </w:instrText>
            </w:r>
            <w:r w:rsidRPr="00011C25">
              <w:rPr>
                <w:rFonts w:ascii="Garamond" w:hAnsi="Garamond"/>
              </w:rPr>
              <w:fldChar w:fldCharType="separate"/>
            </w:r>
            <w:r w:rsidR="00BC0126">
              <w:rPr>
                <w:rFonts w:ascii="Garamond" w:hAnsi="Garamond"/>
                <w:noProof/>
              </w:rPr>
              <w:t>2</w:t>
            </w:r>
            <w:r w:rsidRPr="00011C25">
              <w:rPr>
                <w:rFonts w:ascii="Garamond" w:hAnsi="Garamond"/>
              </w:rPr>
              <w:fldChar w:fldCharType="end"/>
            </w:r>
          </w:p>
        </w:sdtContent>
      </w:sdt>
    </w:sdtContent>
  </w:sdt>
  <w:p w:rsidR="008A379F" w:rsidRDefault="008A3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4D6" w:rsidRDefault="004F24D6" w:rsidP="008A379F">
      <w:pPr>
        <w:spacing w:after="0" w:line="240" w:lineRule="auto"/>
      </w:pPr>
      <w:r>
        <w:separator/>
      </w:r>
    </w:p>
  </w:footnote>
  <w:footnote w:type="continuationSeparator" w:id="0">
    <w:p w:rsidR="004F24D6" w:rsidRDefault="004F24D6" w:rsidP="008A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27F5B"/>
    <w:multiLevelType w:val="hybridMultilevel"/>
    <w:tmpl w:val="268A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0F5522"/>
    <w:multiLevelType w:val="hybridMultilevel"/>
    <w:tmpl w:val="8B20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C6B1A"/>
    <w:multiLevelType w:val="hybridMultilevel"/>
    <w:tmpl w:val="BA2A8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BF3"/>
    <w:rsid w:val="00011C25"/>
    <w:rsid w:val="00014A60"/>
    <w:rsid w:val="00035870"/>
    <w:rsid w:val="0003681B"/>
    <w:rsid w:val="00060295"/>
    <w:rsid w:val="0007691C"/>
    <w:rsid w:val="00080092"/>
    <w:rsid w:val="000B6553"/>
    <w:rsid w:val="000F7A82"/>
    <w:rsid w:val="00135088"/>
    <w:rsid w:val="001B23B8"/>
    <w:rsid w:val="001C7745"/>
    <w:rsid w:val="0023141C"/>
    <w:rsid w:val="00251BF3"/>
    <w:rsid w:val="00262AE7"/>
    <w:rsid w:val="002E1567"/>
    <w:rsid w:val="003027AB"/>
    <w:rsid w:val="00404850"/>
    <w:rsid w:val="004735B8"/>
    <w:rsid w:val="004E086A"/>
    <w:rsid w:val="004F24D6"/>
    <w:rsid w:val="006128D9"/>
    <w:rsid w:val="006446FE"/>
    <w:rsid w:val="006A6DDB"/>
    <w:rsid w:val="007023DB"/>
    <w:rsid w:val="007431BA"/>
    <w:rsid w:val="00761640"/>
    <w:rsid w:val="007A10C5"/>
    <w:rsid w:val="007D08A4"/>
    <w:rsid w:val="007D43AC"/>
    <w:rsid w:val="008A379F"/>
    <w:rsid w:val="008B17C5"/>
    <w:rsid w:val="009523E1"/>
    <w:rsid w:val="00966B3D"/>
    <w:rsid w:val="00B05034"/>
    <w:rsid w:val="00B24943"/>
    <w:rsid w:val="00BC0126"/>
    <w:rsid w:val="00C06A09"/>
    <w:rsid w:val="00CC237B"/>
    <w:rsid w:val="00E56D07"/>
    <w:rsid w:val="00F32A28"/>
    <w:rsid w:val="00FC0608"/>
    <w:rsid w:val="00FD07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F3"/>
    <w:pPr>
      <w:ind w:left="720"/>
      <w:contextualSpacing/>
    </w:pPr>
  </w:style>
  <w:style w:type="table" w:styleId="TableGrid">
    <w:name w:val="Table Grid"/>
    <w:basedOn w:val="TableNormal"/>
    <w:uiPriority w:val="39"/>
    <w:rsid w:val="0025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3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A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79F"/>
  </w:style>
  <w:style w:type="paragraph" w:styleId="Footer">
    <w:name w:val="footer"/>
    <w:basedOn w:val="Normal"/>
    <w:link w:val="FooterChar"/>
    <w:uiPriority w:val="99"/>
    <w:unhideWhenUsed/>
    <w:rsid w:val="008A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B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1BF3"/>
    <w:pPr>
      <w:ind w:left="720"/>
      <w:contextualSpacing/>
    </w:pPr>
  </w:style>
  <w:style w:type="table" w:styleId="TableGrid">
    <w:name w:val="Table Grid"/>
    <w:basedOn w:val="TableNormal"/>
    <w:uiPriority w:val="39"/>
    <w:rsid w:val="0025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23B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B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8A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79F"/>
  </w:style>
  <w:style w:type="paragraph" w:styleId="Footer">
    <w:name w:val="footer"/>
    <w:basedOn w:val="Normal"/>
    <w:link w:val="FooterChar"/>
    <w:uiPriority w:val="99"/>
    <w:unhideWhenUsed/>
    <w:rsid w:val="008A3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37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Yakubu Kokwain</dc:creator>
  <cp:lastModifiedBy>Chioma</cp:lastModifiedBy>
  <cp:revision>2</cp:revision>
  <dcterms:created xsi:type="dcterms:W3CDTF">2016-02-17T08:11:00Z</dcterms:created>
  <dcterms:modified xsi:type="dcterms:W3CDTF">2016-02-17T08:11:00Z</dcterms:modified>
</cp:coreProperties>
</file>