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8F" w:rsidRPr="00707743" w:rsidRDefault="00200F8F" w:rsidP="00200F8F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6955" cy="1158875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8F" w:rsidRPr="00006D22" w:rsidRDefault="00200F8F" w:rsidP="00200F8F">
      <w:pPr>
        <w:pStyle w:val="ListParagraph"/>
        <w:ind w:left="0"/>
        <w:jc w:val="center"/>
        <w:rPr>
          <w:rFonts w:ascii="Garamond" w:hAnsi="Garamond"/>
          <w:b/>
          <w:sz w:val="28"/>
          <w:szCs w:val="28"/>
        </w:rPr>
      </w:pPr>
      <w:r w:rsidRPr="00006D22">
        <w:rPr>
          <w:rFonts w:ascii="Garamond" w:hAnsi="Garamond"/>
          <w:b/>
          <w:sz w:val="28"/>
          <w:szCs w:val="28"/>
        </w:rPr>
        <w:t>STATE-SPECIFIC RECOMMENDATIONS</w:t>
      </w:r>
    </w:p>
    <w:p w:rsidR="00200F8F" w:rsidRPr="00707743" w:rsidRDefault="00200F8F" w:rsidP="00200F8F">
      <w:pPr>
        <w:pStyle w:val="ListParagraph"/>
        <w:ind w:left="0"/>
        <w:jc w:val="center"/>
        <w:rPr>
          <w:rFonts w:ascii="Garamond" w:hAnsi="Garamond"/>
          <w:b/>
          <w:sz w:val="16"/>
          <w:szCs w:val="26"/>
        </w:rPr>
      </w:pPr>
    </w:p>
    <w:p w:rsidR="00200F8F" w:rsidRPr="00565349" w:rsidRDefault="00200F8F" w:rsidP="00200F8F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565349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 w:rsidRPr="00565349">
        <w:rPr>
          <w:rFonts w:ascii="Garamond" w:hAnsi="Garamond"/>
          <w:b/>
          <w:sz w:val="28"/>
          <w:szCs w:val="28"/>
          <w:u w:val="single"/>
        </w:rPr>
        <w:t>Bauchi</w:t>
      </w:r>
      <w:proofErr w:type="spellEnd"/>
      <w:r w:rsidRPr="00565349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200F8F" w:rsidRDefault="00200F8F" w:rsidP="00200F8F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4B7388" w:rsidRDefault="00F805FF" w:rsidP="00200F8F">
      <w:pPr>
        <w:pStyle w:val="ListParagraph"/>
        <w:spacing w:before="240" w:line="360" w:lineRule="auto"/>
        <w:ind w:left="0"/>
        <w:jc w:val="both"/>
        <w:rPr>
          <w:rFonts w:ascii="Garamond" w:hAnsi="Garamond"/>
          <w:sz w:val="26"/>
          <w:szCs w:val="26"/>
        </w:rPr>
      </w:pPr>
      <w:r w:rsidRPr="00200F8F">
        <w:rPr>
          <w:rFonts w:ascii="Garamond" w:hAnsi="Garamond"/>
          <w:sz w:val="26"/>
          <w:szCs w:val="26"/>
        </w:rPr>
        <w:t>Internally Generated Revenue (IGR) accounts for only 7</w:t>
      </w:r>
      <w:r w:rsidR="00200F8F">
        <w:rPr>
          <w:rFonts w:ascii="Garamond" w:hAnsi="Garamond"/>
          <w:sz w:val="26"/>
          <w:szCs w:val="26"/>
        </w:rPr>
        <w:t>.4%</w:t>
      </w:r>
      <w:r w:rsidRPr="00200F8F">
        <w:rPr>
          <w:rFonts w:ascii="Garamond" w:hAnsi="Garamond"/>
          <w:sz w:val="26"/>
          <w:szCs w:val="26"/>
        </w:rPr>
        <w:t xml:space="preserve"> of the total recurrent revenue of </w:t>
      </w:r>
      <w:proofErr w:type="spellStart"/>
      <w:r w:rsidRPr="00200F8F">
        <w:rPr>
          <w:rFonts w:ascii="Garamond" w:hAnsi="Garamond"/>
          <w:sz w:val="26"/>
          <w:szCs w:val="26"/>
        </w:rPr>
        <w:t>Bauchi</w:t>
      </w:r>
      <w:proofErr w:type="spellEnd"/>
      <w:r w:rsidRPr="00200F8F">
        <w:rPr>
          <w:rFonts w:ascii="Garamond" w:hAnsi="Garamond"/>
          <w:sz w:val="26"/>
          <w:szCs w:val="26"/>
        </w:rPr>
        <w:t xml:space="preserve"> State. In the last five years, growth in IGR has been very low, averaging only 9.3 percent, from N3.4 billion in 2010 to N4.9 billion in 2014.</w:t>
      </w:r>
      <w:r w:rsidR="00E8759D" w:rsidRPr="00200F8F">
        <w:rPr>
          <w:rFonts w:ascii="Garamond" w:hAnsi="Garamond"/>
          <w:sz w:val="26"/>
          <w:szCs w:val="26"/>
        </w:rPr>
        <w:t xml:space="preserve"> In 2014, the State’s IGR was </w:t>
      </w:r>
      <w:r w:rsidR="008B59A7">
        <w:rPr>
          <w:rFonts w:ascii="Garamond" w:hAnsi="Garamond"/>
          <w:sz w:val="26"/>
          <w:szCs w:val="26"/>
        </w:rPr>
        <w:t xml:space="preserve">only </w:t>
      </w:r>
      <w:r w:rsidR="00E8759D" w:rsidRPr="00200F8F">
        <w:rPr>
          <w:rFonts w:ascii="Garamond" w:hAnsi="Garamond"/>
          <w:sz w:val="26"/>
          <w:szCs w:val="26"/>
        </w:rPr>
        <w:t>2</w:t>
      </w:r>
      <w:r w:rsidR="00565349">
        <w:rPr>
          <w:rFonts w:ascii="Garamond" w:hAnsi="Garamond"/>
          <w:sz w:val="26"/>
          <w:szCs w:val="26"/>
        </w:rPr>
        <w:t>1 percent of its personnel cost while IGR per capita was less than N1, 000.</w:t>
      </w:r>
    </w:p>
    <w:p w:rsidR="00200F8F" w:rsidRPr="00200F8F" w:rsidRDefault="00200F8F" w:rsidP="00200F8F">
      <w:pPr>
        <w:jc w:val="center"/>
        <w:rPr>
          <w:rFonts w:ascii="Garamond" w:hAnsi="Garamond"/>
          <w:b/>
          <w:sz w:val="26"/>
          <w:szCs w:val="26"/>
        </w:rPr>
      </w:pPr>
      <w:r w:rsidRPr="00200F8F">
        <w:rPr>
          <w:rFonts w:ascii="Garamond" w:hAnsi="Garamond"/>
          <w:b/>
          <w:sz w:val="26"/>
          <w:szCs w:val="26"/>
        </w:rPr>
        <w:t>IGR SNAPSHOT IN THE NORTH EAST ZONE (2014)</w:t>
      </w:r>
    </w:p>
    <w:tbl>
      <w:tblPr>
        <w:tblW w:w="10277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464"/>
        <w:gridCol w:w="1611"/>
        <w:gridCol w:w="1776"/>
        <w:gridCol w:w="1281"/>
        <w:gridCol w:w="2177"/>
        <w:gridCol w:w="1231"/>
      </w:tblGrid>
      <w:tr w:rsidR="00200F8F" w:rsidRPr="00200F8F" w:rsidTr="00200F8F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200F8F" w:rsidRPr="00200F8F" w:rsidRDefault="00200F8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464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200F8F" w:rsidRPr="00200F8F" w:rsidRDefault="00200F8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61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200F8F" w:rsidRPr="00200F8F" w:rsidRDefault="00200F8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200F8F" w:rsidRPr="00200F8F" w:rsidRDefault="00200F8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200F8F" w:rsidRPr="00200F8F" w:rsidRDefault="00200F8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200F8F" w:rsidRPr="00200F8F" w:rsidRDefault="00200F8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3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200F8F" w:rsidRPr="00200F8F" w:rsidRDefault="00200F8F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200F8F" w:rsidRPr="00200F8F" w:rsidTr="00200F8F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GOMBE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433,038,365.16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5,196,460,381.93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9.8%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1,707.78 </w:t>
            </w:r>
          </w:p>
        </w:tc>
      </w:tr>
      <w:tr w:rsidR="00200F8F" w:rsidRPr="00200F8F" w:rsidTr="00200F8F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ADAMAWA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416,206,823.40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4,994,481,880.78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1,249.93 </w:t>
            </w:r>
          </w:p>
        </w:tc>
      </w:tr>
      <w:tr w:rsidR="00200F8F" w:rsidRPr="00200F8F" w:rsidTr="00200F8F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BAUCHI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    404,454,432.07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   4,853,453,184.87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FF0000"/>
                <w:sz w:val="24"/>
                <w:szCs w:val="24"/>
              </w:rPr>
              <w:t>9.3%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FF0000"/>
                <w:sz w:val="24"/>
                <w:szCs w:val="24"/>
              </w:rPr>
              <w:t>7.4%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    798.27 </w:t>
            </w:r>
          </w:p>
        </w:tc>
      </w:tr>
      <w:tr w:rsidR="00200F8F" w:rsidRPr="00200F8F" w:rsidTr="00200F8F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TARABA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316,586,739.46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3,799,040,873.48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31.1%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1,317.06 </w:t>
            </w:r>
          </w:p>
        </w:tc>
      </w:tr>
      <w:tr w:rsidR="00200F8F" w:rsidRPr="00200F8F" w:rsidTr="00200F8F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YOBE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256,148,346.74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3,073,780,160.87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-15.3%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1,005.57 </w:t>
            </w:r>
          </w:p>
        </w:tc>
      </w:tr>
      <w:tr w:rsidR="00200F8F" w:rsidRPr="00200F8F" w:rsidTr="00200F8F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BORNO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230,064,481.58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2,760,773,778.99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>4.2%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200F8F" w:rsidRPr="00200F8F" w:rsidRDefault="00200F8F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00F8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    506.54 </w:t>
            </w:r>
          </w:p>
        </w:tc>
      </w:tr>
    </w:tbl>
    <w:p w:rsidR="00200F8F" w:rsidRPr="008B59A7" w:rsidRDefault="00200F8F" w:rsidP="00200F8F">
      <w:pPr>
        <w:pStyle w:val="ListParagraph"/>
        <w:spacing w:before="240" w:line="360" w:lineRule="auto"/>
        <w:ind w:left="0"/>
        <w:jc w:val="both"/>
        <w:rPr>
          <w:rFonts w:ascii="Garamond" w:hAnsi="Garamond"/>
          <w:b/>
          <w:sz w:val="10"/>
          <w:szCs w:val="26"/>
        </w:rPr>
      </w:pPr>
    </w:p>
    <w:p w:rsidR="00256E57" w:rsidRPr="00200F8F" w:rsidRDefault="00565349" w:rsidP="00200F8F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Commendable</w:t>
      </w:r>
      <w:r w:rsidR="004B7388" w:rsidRPr="00200F8F">
        <w:rPr>
          <w:rFonts w:ascii="Garamond" w:hAnsi="Garamond"/>
          <w:sz w:val="26"/>
          <w:szCs w:val="26"/>
        </w:rPr>
        <w:t xml:space="preserve"> </w:t>
      </w:r>
      <w:r w:rsidR="00B865AB" w:rsidRPr="00200F8F">
        <w:rPr>
          <w:rFonts w:ascii="Garamond" w:hAnsi="Garamond"/>
          <w:sz w:val="26"/>
          <w:szCs w:val="26"/>
        </w:rPr>
        <w:t xml:space="preserve">IGR </w:t>
      </w:r>
      <w:r w:rsidR="004B7388" w:rsidRPr="00200F8F">
        <w:rPr>
          <w:rFonts w:ascii="Garamond" w:hAnsi="Garamond"/>
          <w:sz w:val="26"/>
          <w:szCs w:val="26"/>
        </w:rPr>
        <w:t xml:space="preserve">milestones </w:t>
      </w:r>
      <w:r w:rsidR="008B59A7">
        <w:rPr>
          <w:rFonts w:ascii="Garamond" w:hAnsi="Garamond"/>
          <w:sz w:val="26"/>
          <w:szCs w:val="26"/>
        </w:rPr>
        <w:t>achieved by the State</w:t>
      </w:r>
      <w:r w:rsidR="004B7388" w:rsidRPr="00200F8F">
        <w:rPr>
          <w:rFonts w:ascii="Garamond" w:hAnsi="Garamond"/>
          <w:sz w:val="26"/>
          <w:szCs w:val="26"/>
        </w:rPr>
        <w:t>:</w:t>
      </w:r>
    </w:p>
    <w:p w:rsidR="00256E57" w:rsidRPr="00200F8F" w:rsidRDefault="004B7388" w:rsidP="00200F8F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6"/>
          <w:szCs w:val="26"/>
        </w:rPr>
      </w:pPr>
      <w:r w:rsidRPr="00200F8F">
        <w:rPr>
          <w:rFonts w:ascii="Garamond" w:hAnsi="Garamond"/>
          <w:sz w:val="26"/>
          <w:szCs w:val="26"/>
        </w:rPr>
        <w:t>An autonomous board of IRS</w:t>
      </w:r>
      <w:r w:rsidR="00256E57" w:rsidRPr="00200F8F">
        <w:rPr>
          <w:rFonts w:ascii="Garamond" w:hAnsi="Garamond"/>
          <w:sz w:val="26"/>
          <w:szCs w:val="26"/>
        </w:rPr>
        <w:t xml:space="preserve"> </w:t>
      </w:r>
    </w:p>
    <w:p w:rsidR="00256E57" w:rsidRPr="00200F8F" w:rsidRDefault="00B865AB" w:rsidP="00200F8F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6"/>
          <w:szCs w:val="26"/>
        </w:rPr>
      </w:pPr>
      <w:r w:rsidRPr="00200F8F">
        <w:rPr>
          <w:rFonts w:ascii="Garamond" w:hAnsi="Garamond"/>
          <w:sz w:val="26"/>
          <w:szCs w:val="26"/>
        </w:rPr>
        <w:t>A</w:t>
      </w:r>
      <w:r w:rsidR="008B59A7">
        <w:rPr>
          <w:rFonts w:ascii="Garamond" w:hAnsi="Garamond"/>
          <w:sz w:val="26"/>
          <w:szCs w:val="26"/>
        </w:rPr>
        <w:t>n effective tax audit system</w:t>
      </w:r>
    </w:p>
    <w:p w:rsidR="00C65BFA" w:rsidRPr="00200F8F" w:rsidRDefault="00C65BFA" w:rsidP="00200F8F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6"/>
          <w:szCs w:val="26"/>
        </w:rPr>
      </w:pPr>
      <w:r w:rsidRPr="00200F8F">
        <w:rPr>
          <w:rFonts w:ascii="Garamond" w:hAnsi="Garamond"/>
          <w:sz w:val="26"/>
          <w:szCs w:val="26"/>
        </w:rPr>
        <w:t>Competitive salary structure</w:t>
      </w:r>
      <w:r w:rsidR="003534AB" w:rsidRPr="00200F8F">
        <w:rPr>
          <w:rFonts w:ascii="Garamond" w:hAnsi="Garamond"/>
          <w:sz w:val="26"/>
          <w:szCs w:val="26"/>
        </w:rPr>
        <w:t xml:space="preserve"> for the IRS</w:t>
      </w:r>
    </w:p>
    <w:p w:rsidR="00256E57" w:rsidRPr="00200F8F" w:rsidRDefault="00FF4722" w:rsidP="00200F8F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6"/>
          <w:szCs w:val="26"/>
        </w:rPr>
      </w:pPr>
      <w:r w:rsidRPr="00200F8F">
        <w:rPr>
          <w:rFonts w:ascii="Garamond" w:hAnsi="Garamond"/>
          <w:sz w:val="26"/>
          <w:szCs w:val="26"/>
        </w:rPr>
        <w:lastRenderedPageBreak/>
        <w:t>IT</w:t>
      </w:r>
      <w:r w:rsidR="00C65BFA" w:rsidRPr="00200F8F">
        <w:rPr>
          <w:rFonts w:ascii="Garamond" w:hAnsi="Garamond"/>
          <w:sz w:val="26"/>
          <w:szCs w:val="26"/>
        </w:rPr>
        <w:t xml:space="preserve"> systems and infrastructure in place to register tax payers</w:t>
      </w:r>
    </w:p>
    <w:p w:rsidR="00256E57" w:rsidRPr="00200F8F" w:rsidRDefault="009F519F" w:rsidP="00200F8F">
      <w:pPr>
        <w:spacing w:line="360" w:lineRule="auto"/>
        <w:rPr>
          <w:rFonts w:ascii="Garamond" w:hAnsi="Garamond"/>
          <w:sz w:val="26"/>
          <w:szCs w:val="26"/>
        </w:rPr>
      </w:pPr>
      <w:r w:rsidRPr="00200F8F">
        <w:rPr>
          <w:rFonts w:ascii="Garamond" w:hAnsi="Garamond"/>
          <w:sz w:val="26"/>
          <w:szCs w:val="26"/>
        </w:rPr>
        <w:t xml:space="preserve">Challenges that </w:t>
      </w:r>
      <w:r w:rsidR="003534AB" w:rsidRPr="00200F8F">
        <w:rPr>
          <w:rFonts w:ascii="Garamond" w:hAnsi="Garamond"/>
          <w:sz w:val="26"/>
          <w:szCs w:val="26"/>
        </w:rPr>
        <w:t xml:space="preserve">have </w:t>
      </w:r>
      <w:proofErr w:type="spellStart"/>
      <w:r w:rsidRPr="00200F8F">
        <w:rPr>
          <w:rFonts w:ascii="Garamond" w:hAnsi="Garamond"/>
          <w:sz w:val="26"/>
          <w:szCs w:val="26"/>
        </w:rPr>
        <w:t>l</w:t>
      </w:r>
      <w:r w:rsidR="00FC45C5" w:rsidRPr="00200F8F">
        <w:rPr>
          <w:rFonts w:ascii="Garamond" w:hAnsi="Garamond"/>
          <w:sz w:val="26"/>
          <w:szCs w:val="26"/>
        </w:rPr>
        <w:t>ead</w:t>
      </w:r>
      <w:proofErr w:type="spellEnd"/>
      <w:r w:rsidR="00FC45C5" w:rsidRPr="00200F8F">
        <w:rPr>
          <w:rFonts w:ascii="Garamond" w:hAnsi="Garamond"/>
          <w:sz w:val="26"/>
          <w:szCs w:val="26"/>
        </w:rPr>
        <w:t xml:space="preserve"> to drawbacks </w:t>
      </w:r>
      <w:r w:rsidR="00FF4722" w:rsidRPr="00200F8F">
        <w:rPr>
          <w:rFonts w:ascii="Garamond" w:hAnsi="Garamond"/>
          <w:sz w:val="26"/>
          <w:szCs w:val="26"/>
        </w:rPr>
        <w:t>in revenue generation</w:t>
      </w:r>
      <w:r w:rsidR="003534AB" w:rsidRPr="00200F8F">
        <w:rPr>
          <w:rFonts w:ascii="Garamond" w:hAnsi="Garamond"/>
          <w:sz w:val="26"/>
          <w:szCs w:val="26"/>
        </w:rPr>
        <w:t>:</w:t>
      </w:r>
    </w:p>
    <w:p w:rsidR="00256E57" w:rsidRPr="00200F8F" w:rsidRDefault="008B59A7" w:rsidP="00200F8F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Tax n</w:t>
      </w:r>
      <w:r w:rsidR="003534AB" w:rsidRPr="00200F8F">
        <w:rPr>
          <w:rFonts w:ascii="Garamond" w:hAnsi="Garamond"/>
          <w:sz w:val="26"/>
          <w:szCs w:val="26"/>
        </w:rPr>
        <w:t>on</w:t>
      </w:r>
      <w:r w:rsidR="00FF4722" w:rsidRPr="00200F8F">
        <w:rPr>
          <w:rFonts w:ascii="Garamond" w:hAnsi="Garamond"/>
          <w:sz w:val="26"/>
          <w:szCs w:val="26"/>
        </w:rPr>
        <w:t>compliance from citizens</w:t>
      </w:r>
      <w:r w:rsidR="003534AB" w:rsidRPr="00200F8F">
        <w:rPr>
          <w:rFonts w:ascii="Garamond" w:hAnsi="Garamond"/>
          <w:sz w:val="26"/>
          <w:szCs w:val="26"/>
        </w:rPr>
        <w:t xml:space="preserve"> (taxpayers)</w:t>
      </w:r>
    </w:p>
    <w:p w:rsidR="00256E57" w:rsidRPr="00200F8F" w:rsidRDefault="00FF4722" w:rsidP="00200F8F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200F8F">
        <w:rPr>
          <w:rFonts w:ascii="Garamond" w:hAnsi="Garamond"/>
          <w:sz w:val="26"/>
          <w:szCs w:val="26"/>
        </w:rPr>
        <w:t>L</w:t>
      </w:r>
      <w:r w:rsidR="00256E57" w:rsidRPr="00200F8F">
        <w:rPr>
          <w:rFonts w:ascii="Garamond" w:hAnsi="Garamond"/>
          <w:sz w:val="26"/>
          <w:szCs w:val="26"/>
        </w:rPr>
        <w:t xml:space="preserve">eakages in the collection of taxes </w:t>
      </w:r>
    </w:p>
    <w:p w:rsidR="00C65BFA" w:rsidRPr="00200F8F" w:rsidRDefault="00C65BFA" w:rsidP="00200F8F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200F8F">
        <w:rPr>
          <w:rFonts w:ascii="Garamond" w:hAnsi="Garamond"/>
          <w:sz w:val="26"/>
          <w:szCs w:val="26"/>
        </w:rPr>
        <w:t>Loopholes in tax laws diminish chance</w:t>
      </w:r>
      <w:r w:rsidR="00FF4722" w:rsidRPr="00200F8F">
        <w:rPr>
          <w:rFonts w:ascii="Garamond" w:hAnsi="Garamond"/>
          <w:sz w:val="26"/>
          <w:szCs w:val="26"/>
        </w:rPr>
        <w:t>s of collecting tax</w:t>
      </w:r>
    </w:p>
    <w:p w:rsidR="00256E57" w:rsidRPr="008B59A7" w:rsidRDefault="008B59A7" w:rsidP="00200F8F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H</w:t>
      </w:r>
      <w:r w:rsidR="003534AB" w:rsidRPr="008B59A7">
        <w:rPr>
          <w:rFonts w:ascii="Garamond" w:hAnsi="Garamond"/>
          <w:sz w:val="26"/>
          <w:szCs w:val="26"/>
        </w:rPr>
        <w:t>igh</w:t>
      </w:r>
      <w:r w:rsidR="00C15C67" w:rsidRPr="008B59A7">
        <w:rPr>
          <w:rFonts w:ascii="Garamond" w:hAnsi="Garamond"/>
          <w:sz w:val="26"/>
          <w:szCs w:val="26"/>
        </w:rPr>
        <w:t xml:space="preserve"> </w:t>
      </w:r>
      <w:r w:rsidR="003534AB" w:rsidRPr="008B59A7">
        <w:rPr>
          <w:rFonts w:ascii="Garamond" w:hAnsi="Garamond"/>
          <w:sz w:val="26"/>
          <w:szCs w:val="26"/>
        </w:rPr>
        <w:t>incidences</w:t>
      </w:r>
      <w:r w:rsidR="00C15C67" w:rsidRPr="008B59A7">
        <w:rPr>
          <w:rFonts w:ascii="Garamond" w:hAnsi="Garamond"/>
          <w:sz w:val="26"/>
          <w:szCs w:val="26"/>
        </w:rPr>
        <w:t xml:space="preserve"> of multiple taxation across </w:t>
      </w:r>
      <w:r w:rsidR="003534AB" w:rsidRPr="008B59A7">
        <w:rPr>
          <w:rFonts w:ascii="Garamond" w:hAnsi="Garamond"/>
          <w:sz w:val="26"/>
          <w:szCs w:val="26"/>
        </w:rPr>
        <w:t>the State</w:t>
      </w:r>
    </w:p>
    <w:p w:rsidR="008B59A7" w:rsidRPr="008B59A7" w:rsidRDefault="008B59A7" w:rsidP="008B59A7">
      <w:pPr>
        <w:pStyle w:val="ListParagraph"/>
        <w:spacing w:line="360" w:lineRule="auto"/>
        <w:rPr>
          <w:rFonts w:ascii="Garamond" w:hAnsi="Garamond"/>
          <w:b/>
          <w:sz w:val="18"/>
          <w:szCs w:val="26"/>
        </w:rPr>
      </w:pPr>
    </w:p>
    <w:tbl>
      <w:tblPr>
        <w:tblStyle w:val="TableGrid"/>
        <w:tblpPr w:leftFromText="180" w:rightFromText="180" w:vertAnchor="text" w:horzAnchor="margin" w:tblpY="764"/>
        <w:tblW w:w="9787" w:type="dxa"/>
        <w:tblLook w:val="04A0" w:firstRow="1" w:lastRow="0" w:firstColumn="1" w:lastColumn="0" w:noHBand="0" w:noVBand="1"/>
      </w:tblPr>
      <w:tblGrid>
        <w:gridCol w:w="712"/>
        <w:gridCol w:w="2372"/>
        <w:gridCol w:w="3061"/>
        <w:gridCol w:w="1404"/>
        <w:gridCol w:w="2238"/>
      </w:tblGrid>
      <w:tr w:rsidR="004B7388" w:rsidRPr="00200F8F" w:rsidTr="008B59A7">
        <w:trPr>
          <w:trHeight w:val="440"/>
        </w:trPr>
        <w:tc>
          <w:tcPr>
            <w:tcW w:w="379" w:type="dxa"/>
          </w:tcPr>
          <w:p w:rsidR="004B7388" w:rsidRPr="00200F8F" w:rsidRDefault="003534AB" w:rsidP="00565349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200F8F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246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200F8F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3211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200F8F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42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200F8F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29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200F8F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4B7388" w:rsidRPr="00200F8F" w:rsidTr="00C15C67">
        <w:tc>
          <w:tcPr>
            <w:tcW w:w="37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46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 xml:space="preserve">Establishment of </w:t>
            </w:r>
            <w:r w:rsidR="00FF4722" w:rsidRPr="00200F8F">
              <w:rPr>
                <w:rFonts w:ascii="Garamond" w:hAnsi="Garamond"/>
                <w:sz w:val="26"/>
                <w:szCs w:val="26"/>
              </w:rPr>
              <w:t xml:space="preserve">a </w:t>
            </w:r>
            <w:r w:rsidRPr="00200F8F">
              <w:rPr>
                <w:rFonts w:ascii="Garamond" w:hAnsi="Garamond"/>
                <w:sz w:val="26"/>
                <w:szCs w:val="26"/>
              </w:rPr>
              <w:t xml:space="preserve">legal </w:t>
            </w:r>
            <w:r w:rsidR="00FF4722" w:rsidRPr="00200F8F">
              <w:rPr>
                <w:rFonts w:ascii="Garamond" w:hAnsi="Garamond"/>
                <w:sz w:val="26"/>
                <w:szCs w:val="26"/>
              </w:rPr>
              <w:t>framework on property and consumption tax</w:t>
            </w:r>
          </w:p>
        </w:tc>
        <w:tc>
          <w:tcPr>
            <w:tcW w:w="3211" w:type="dxa"/>
          </w:tcPr>
          <w:p w:rsidR="004B7388" w:rsidRPr="008B59A7" w:rsidRDefault="004B7388" w:rsidP="0056534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8B59A7">
              <w:rPr>
                <w:rFonts w:ascii="Garamond" w:hAnsi="Garamond"/>
                <w:sz w:val="26"/>
                <w:szCs w:val="26"/>
              </w:rPr>
              <w:t>Submission of</w:t>
            </w:r>
            <w:r w:rsidR="00FF4722" w:rsidRPr="008B59A7">
              <w:rPr>
                <w:rFonts w:ascii="Garamond" w:hAnsi="Garamond"/>
                <w:sz w:val="26"/>
                <w:szCs w:val="26"/>
              </w:rPr>
              <w:t xml:space="preserve"> a</w:t>
            </w:r>
            <w:r w:rsidRPr="008B59A7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FF4722" w:rsidRPr="008B59A7">
              <w:rPr>
                <w:rFonts w:ascii="Garamond" w:hAnsi="Garamond"/>
                <w:sz w:val="26"/>
                <w:szCs w:val="26"/>
              </w:rPr>
              <w:t xml:space="preserve">draft </w:t>
            </w:r>
            <w:r w:rsidRPr="008B59A7">
              <w:rPr>
                <w:rFonts w:ascii="Garamond" w:hAnsi="Garamond"/>
                <w:sz w:val="26"/>
                <w:szCs w:val="26"/>
              </w:rPr>
              <w:t xml:space="preserve">Bill </w:t>
            </w:r>
            <w:r w:rsidR="00FF4722" w:rsidRPr="008B59A7">
              <w:rPr>
                <w:rFonts w:ascii="Garamond" w:hAnsi="Garamond"/>
                <w:sz w:val="26"/>
                <w:szCs w:val="26"/>
              </w:rPr>
              <w:t xml:space="preserve">to the </w:t>
            </w:r>
            <w:r w:rsidRPr="008B59A7">
              <w:rPr>
                <w:rFonts w:ascii="Garamond" w:hAnsi="Garamond"/>
                <w:sz w:val="26"/>
                <w:szCs w:val="26"/>
              </w:rPr>
              <w:t>State House Of Assembly</w:t>
            </w:r>
          </w:p>
        </w:tc>
        <w:tc>
          <w:tcPr>
            <w:tcW w:w="1429" w:type="dxa"/>
          </w:tcPr>
          <w:p w:rsidR="004B7388" w:rsidRPr="00200F8F" w:rsidRDefault="00C15C67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>6</w:t>
            </w:r>
            <w:r w:rsidR="004B7388" w:rsidRPr="00200F8F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FF4722" w:rsidRPr="00200F8F">
              <w:rPr>
                <w:rFonts w:ascii="Garamond" w:hAnsi="Garamond"/>
                <w:sz w:val="26"/>
                <w:szCs w:val="26"/>
              </w:rPr>
              <w:t>months</w:t>
            </w:r>
          </w:p>
        </w:tc>
        <w:tc>
          <w:tcPr>
            <w:tcW w:w="229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200F8F">
              <w:rPr>
                <w:rFonts w:ascii="Garamond" w:hAnsi="Garamond"/>
                <w:sz w:val="26"/>
                <w:szCs w:val="26"/>
              </w:rPr>
              <w:t>Bauchi</w:t>
            </w:r>
            <w:proofErr w:type="spellEnd"/>
            <w:r w:rsidRPr="00200F8F">
              <w:rPr>
                <w:rFonts w:ascii="Garamond" w:hAnsi="Garamond"/>
                <w:sz w:val="26"/>
                <w:szCs w:val="26"/>
              </w:rPr>
              <w:t xml:space="preserve"> State Government</w:t>
            </w:r>
          </w:p>
        </w:tc>
      </w:tr>
      <w:tr w:rsidR="004B7388" w:rsidRPr="00200F8F" w:rsidTr="00C15C67">
        <w:tc>
          <w:tcPr>
            <w:tcW w:w="37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>I</w:t>
            </w:r>
            <w:r w:rsidR="00FF4722" w:rsidRPr="00200F8F">
              <w:rPr>
                <w:rFonts w:ascii="Garamond" w:hAnsi="Garamond"/>
                <w:sz w:val="26"/>
                <w:szCs w:val="26"/>
              </w:rPr>
              <w:t>ncrease IGR by taxing the i</w:t>
            </w:r>
            <w:r w:rsidRPr="00200F8F">
              <w:rPr>
                <w:rFonts w:ascii="Garamond" w:hAnsi="Garamond"/>
                <w:sz w:val="26"/>
                <w:szCs w:val="26"/>
              </w:rPr>
              <w:t>nformal sector</w:t>
            </w:r>
          </w:p>
        </w:tc>
        <w:tc>
          <w:tcPr>
            <w:tcW w:w="3211" w:type="dxa"/>
          </w:tcPr>
          <w:p w:rsidR="004B7388" w:rsidRPr="00200F8F" w:rsidRDefault="004B7388" w:rsidP="005653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 xml:space="preserve">Updating database on </w:t>
            </w:r>
            <w:r w:rsidR="00FF4722" w:rsidRPr="00200F8F">
              <w:rPr>
                <w:rFonts w:ascii="Garamond" w:hAnsi="Garamond"/>
                <w:sz w:val="26"/>
                <w:szCs w:val="26"/>
              </w:rPr>
              <w:t>informal sec</w:t>
            </w:r>
            <w:r w:rsidRPr="00200F8F">
              <w:rPr>
                <w:rFonts w:ascii="Garamond" w:hAnsi="Garamond"/>
                <w:sz w:val="26"/>
                <w:szCs w:val="26"/>
              </w:rPr>
              <w:t>tor</w:t>
            </w:r>
          </w:p>
          <w:p w:rsidR="004B7388" w:rsidRPr="00200F8F" w:rsidRDefault="004B7388" w:rsidP="005653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>Collabo</w:t>
            </w:r>
            <w:r w:rsidR="003534AB" w:rsidRPr="00200F8F">
              <w:rPr>
                <w:rFonts w:ascii="Garamond" w:hAnsi="Garamond"/>
                <w:sz w:val="26"/>
                <w:szCs w:val="26"/>
              </w:rPr>
              <w:t xml:space="preserve">ration with all stakeholders in the </w:t>
            </w:r>
            <w:r w:rsidR="00FF4722" w:rsidRPr="00200F8F">
              <w:rPr>
                <w:rFonts w:ascii="Garamond" w:hAnsi="Garamond"/>
                <w:sz w:val="26"/>
                <w:szCs w:val="26"/>
              </w:rPr>
              <w:t xml:space="preserve">informal sector (traditional rulers, trade unions </w:t>
            </w:r>
            <w:proofErr w:type="spellStart"/>
            <w:r w:rsidR="00FF4722" w:rsidRPr="00200F8F">
              <w:rPr>
                <w:rFonts w:ascii="Garamond" w:hAnsi="Garamond"/>
                <w:sz w:val="26"/>
                <w:szCs w:val="26"/>
              </w:rPr>
              <w:t>e.t.c</w:t>
            </w:r>
            <w:proofErr w:type="spellEnd"/>
            <w:r w:rsidRPr="00200F8F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1429" w:type="dxa"/>
          </w:tcPr>
          <w:p w:rsidR="004B7388" w:rsidRPr="00200F8F" w:rsidRDefault="00C15C67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>6</w:t>
            </w:r>
            <w:r w:rsidR="004B7388" w:rsidRPr="00200F8F">
              <w:rPr>
                <w:rFonts w:ascii="Garamond" w:hAnsi="Garamond"/>
                <w:sz w:val="26"/>
                <w:szCs w:val="26"/>
              </w:rPr>
              <w:t xml:space="preserve"> months</w:t>
            </w:r>
          </w:p>
        </w:tc>
        <w:tc>
          <w:tcPr>
            <w:tcW w:w="229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 xml:space="preserve">Board of Internal Revenue/ </w:t>
            </w:r>
            <w:proofErr w:type="spellStart"/>
            <w:r w:rsidRPr="00200F8F">
              <w:rPr>
                <w:rFonts w:ascii="Garamond" w:hAnsi="Garamond"/>
                <w:sz w:val="26"/>
                <w:szCs w:val="26"/>
              </w:rPr>
              <w:t>Bauchi</w:t>
            </w:r>
            <w:proofErr w:type="spellEnd"/>
            <w:r w:rsidRPr="00200F8F">
              <w:rPr>
                <w:rFonts w:ascii="Garamond" w:hAnsi="Garamond"/>
                <w:sz w:val="26"/>
                <w:szCs w:val="26"/>
              </w:rPr>
              <w:t xml:space="preserve"> State Government</w:t>
            </w:r>
          </w:p>
        </w:tc>
      </w:tr>
      <w:tr w:rsidR="004B7388" w:rsidRPr="00200F8F" w:rsidTr="00C15C67">
        <w:tc>
          <w:tcPr>
            <w:tcW w:w="37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46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 xml:space="preserve">Achieve </w:t>
            </w:r>
            <w:r w:rsidR="00FF4722" w:rsidRPr="00200F8F">
              <w:rPr>
                <w:rFonts w:ascii="Garamond" w:hAnsi="Garamond"/>
                <w:sz w:val="26"/>
                <w:szCs w:val="26"/>
              </w:rPr>
              <w:t>full tax compliance</w:t>
            </w:r>
          </w:p>
        </w:tc>
        <w:tc>
          <w:tcPr>
            <w:tcW w:w="3211" w:type="dxa"/>
          </w:tcPr>
          <w:p w:rsidR="004B7388" w:rsidRPr="00200F8F" w:rsidRDefault="00FF4722" w:rsidP="0056534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 xml:space="preserve">Political will </w:t>
            </w:r>
            <w:r w:rsidR="00C15C67" w:rsidRPr="00200F8F">
              <w:rPr>
                <w:rFonts w:ascii="Garamond" w:hAnsi="Garamond"/>
                <w:sz w:val="26"/>
                <w:szCs w:val="26"/>
              </w:rPr>
              <w:t>from</w:t>
            </w:r>
            <w:r w:rsidRPr="00200F8F">
              <w:rPr>
                <w:rFonts w:ascii="Garamond" w:hAnsi="Garamond"/>
                <w:sz w:val="26"/>
                <w:szCs w:val="26"/>
              </w:rPr>
              <w:t xml:space="preserve"> t</w:t>
            </w:r>
            <w:r w:rsidR="004B7388" w:rsidRPr="00200F8F">
              <w:rPr>
                <w:rFonts w:ascii="Garamond" w:hAnsi="Garamond"/>
                <w:sz w:val="26"/>
                <w:szCs w:val="26"/>
              </w:rPr>
              <w:t>he State Governor</w:t>
            </w:r>
          </w:p>
          <w:p w:rsidR="004B7388" w:rsidRPr="00200F8F" w:rsidRDefault="004B7388" w:rsidP="0056534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>Collaboration with State/Federal MDA</w:t>
            </w:r>
            <w:r w:rsidR="00C15C67" w:rsidRPr="00200F8F">
              <w:rPr>
                <w:rFonts w:ascii="Garamond" w:hAnsi="Garamond"/>
                <w:sz w:val="26"/>
                <w:szCs w:val="26"/>
              </w:rPr>
              <w:t>s as well as NGO</w:t>
            </w:r>
            <w:r w:rsidRPr="00200F8F">
              <w:rPr>
                <w:rFonts w:ascii="Garamond" w:hAnsi="Garamond"/>
                <w:sz w:val="26"/>
                <w:szCs w:val="26"/>
              </w:rPr>
              <w:t>s</w:t>
            </w:r>
          </w:p>
        </w:tc>
        <w:tc>
          <w:tcPr>
            <w:tcW w:w="1429" w:type="dxa"/>
          </w:tcPr>
          <w:p w:rsidR="004B7388" w:rsidRPr="00200F8F" w:rsidRDefault="00C15C67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>6</w:t>
            </w:r>
            <w:r w:rsidR="004B7388" w:rsidRPr="00200F8F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FF4722" w:rsidRPr="00200F8F">
              <w:rPr>
                <w:rFonts w:ascii="Garamond" w:hAnsi="Garamond"/>
                <w:sz w:val="26"/>
                <w:szCs w:val="26"/>
              </w:rPr>
              <w:t>months</w:t>
            </w:r>
          </w:p>
        </w:tc>
        <w:tc>
          <w:tcPr>
            <w:tcW w:w="2299" w:type="dxa"/>
          </w:tcPr>
          <w:p w:rsidR="004B7388" w:rsidRPr="00200F8F" w:rsidRDefault="004B7388" w:rsidP="00565349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200F8F">
              <w:rPr>
                <w:rFonts w:ascii="Garamond" w:hAnsi="Garamond"/>
                <w:sz w:val="26"/>
                <w:szCs w:val="26"/>
              </w:rPr>
              <w:t xml:space="preserve">Board </w:t>
            </w:r>
            <w:r w:rsidR="00C15C67" w:rsidRPr="00200F8F">
              <w:rPr>
                <w:rFonts w:ascii="Garamond" w:hAnsi="Garamond"/>
                <w:sz w:val="26"/>
                <w:szCs w:val="26"/>
              </w:rPr>
              <w:t>o</w:t>
            </w:r>
            <w:r w:rsidRPr="00200F8F">
              <w:rPr>
                <w:rFonts w:ascii="Garamond" w:hAnsi="Garamond"/>
                <w:sz w:val="26"/>
                <w:szCs w:val="26"/>
              </w:rPr>
              <w:t>f Internal Revenue/State Government</w:t>
            </w:r>
          </w:p>
        </w:tc>
      </w:tr>
    </w:tbl>
    <w:p w:rsidR="004B7388" w:rsidRPr="00200F8F" w:rsidRDefault="00200F8F" w:rsidP="008B59A7">
      <w:pPr>
        <w:spacing w:after="0" w:line="276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sectPr w:rsidR="004B7388" w:rsidRPr="00200F8F" w:rsidSect="004B73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80" w:rsidRDefault="001C1F80" w:rsidP="00D72A70">
      <w:pPr>
        <w:spacing w:after="0" w:line="240" w:lineRule="auto"/>
      </w:pPr>
      <w:r>
        <w:separator/>
      </w:r>
    </w:p>
  </w:endnote>
  <w:endnote w:type="continuationSeparator" w:id="0">
    <w:p w:rsidR="001C1F80" w:rsidRDefault="001C1F80" w:rsidP="00D7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57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B59A7" w:rsidRDefault="008B59A7">
            <w:pPr>
              <w:pStyle w:val="Footer"/>
              <w:jc w:val="right"/>
            </w:pPr>
            <w:r w:rsidRPr="008B59A7">
              <w:rPr>
                <w:rFonts w:ascii="Garamond" w:hAnsi="Garamond"/>
              </w:rPr>
              <w:t xml:space="preserve">Page </w:t>
            </w:r>
            <w:r w:rsidRPr="008B59A7">
              <w:rPr>
                <w:rFonts w:ascii="Garamond" w:hAnsi="Garamond"/>
              </w:rPr>
              <w:fldChar w:fldCharType="begin"/>
            </w:r>
            <w:r w:rsidRPr="008B59A7">
              <w:rPr>
                <w:rFonts w:ascii="Garamond" w:hAnsi="Garamond"/>
              </w:rPr>
              <w:instrText xml:space="preserve"> PAGE </w:instrText>
            </w:r>
            <w:r w:rsidRPr="008B59A7">
              <w:rPr>
                <w:rFonts w:ascii="Garamond" w:hAnsi="Garamond"/>
              </w:rPr>
              <w:fldChar w:fldCharType="separate"/>
            </w:r>
            <w:r w:rsidR="007E7D99">
              <w:rPr>
                <w:rFonts w:ascii="Garamond" w:hAnsi="Garamond"/>
                <w:noProof/>
              </w:rPr>
              <w:t>1</w:t>
            </w:r>
            <w:r w:rsidRPr="008B59A7">
              <w:rPr>
                <w:rFonts w:ascii="Garamond" w:hAnsi="Garamond"/>
              </w:rPr>
              <w:fldChar w:fldCharType="end"/>
            </w:r>
            <w:r w:rsidRPr="008B59A7">
              <w:rPr>
                <w:rFonts w:ascii="Garamond" w:hAnsi="Garamond"/>
              </w:rPr>
              <w:t xml:space="preserve"> of </w:t>
            </w:r>
            <w:r w:rsidRPr="008B59A7">
              <w:rPr>
                <w:rFonts w:ascii="Garamond" w:hAnsi="Garamond"/>
              </w:rPr>
              <w:fldChar w:fldCharType="begin"/>
            </w:r>
            <w:r w:rsidRPr="008B59A7">
              <w:rPr>
                <w:rFonts w:ascii="Garamond" w:hAnsi="Garamond"/>
              </w:rPr>
              <w:instrText xml:space="preserve"> NUMPAGES  </w:instrText>
            </w:r>
            <w:r w:rsidRPr="008B59A7">
              <w:rPr>
                <w:rFonts w:ascii="Garamond" w:hAnsi="Garamond"/>
              </w:rPr>
              <w:fldChar w:fldCharType="separate"/>
            </w:r>
            <w:r w:rsidR="007E7D99">
              <w:rPr>
                <w:rFonts w:ascii="Garamond" w:hAnsi="Garamond"/>
                <w:noProof/>
              </w:rPr>
              <w:t>2</w:t>
            </w:r>
            <w:r w:rsidRPr="008B59A7">
              <w:rPr>
                <w:rFonts w:ascii="Garamond" w:hAnsi="Garamond"/>
              </w:rPr>
              <w:fldChar w:fldCharType="end"/>
            </w:r>
          </w:p>
        </w:sdtContent>
      </w:sdt>
    </w:sdtContent>
  </w:sdt>
  <w:p w:rsidR="00C15C67" w:rsidRDefault="00C15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80" w:rsidRDefault="001C1F80" w:rsidP="00D72A70">
      <w:pPr>
        <w:spacing w:after="0" w:line="240" w:lineRule="auto"/>
      </w:pPr>
      <w:r>
        <w:separator/>
      </w:r>
    </w:p>
  </w:footnote>
  <w:footnote w:type="continuationSeparator" w:id="0">
    <w:p w:rsidR="001C1F80" w:rsidRDefault="001C1F80" w:rsidP="00D7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70" w:rsidRDefault="00D72A70" w:rsidP="001344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176"/>
    <w:multiLevelType w:val="hybridMultilevel"/>
    <w:tmpl w:val="50C0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73FF"/>
    <w:multiLevelType w:val="hybridMultilevel"/>
    <w:tmpl w:val="94FE43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F4E76"/>
    <w:multiLevelType w:val="hybridMultilevel"/>
    <w:tmpl w:val="9CE2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947"/>
    <w:multiLevelType w:val="hybridMultilevel"/>
    <w:tmpl w:val="3C829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86399"/>
    <w:multiLevelType w:val="hybridMultilevel"/>
    <w:tmpl w:val="4FAA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81716"/>
    <w:multiLevelType w:val="hybridMultilevel"/>
    <w:tmpl w:val="A138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F12"/>
    <w:multiLevelType w:val="hybridMultilevel"/>
    <w:tmpl w:val="169A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620C1B"/>
    <w:multiLevelType w:val="hybridMultilevel"/>
    <w:tmpl w:val="8F4A7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57"/>
    <w:rsid w:val="00060295"/>
    <w:rsid w:val="000B762E"/>
    <w:rsid w:val="001344A8"/>
    <w:rsid w:val="00141331"/>
    <w:rsid w:val="001637EA"/>
    <w:rsid w:val="001C1F80"/>
    <w:rsid w:val="00200F8F"/>
    <w:rsid w:val="00256E57"/>
    <w:rsid w:val="003534AB"/>
    <w:rsid w:val="00422146"/>
    <w:rsid w:val="004B7388"/>
    <w:rsid w:val="00565349"/>
    <w:rsid w:val="0057518B"/>
    <w:rsid w:val="005C549A"/>
    <w:rsid w:val="00753ACB"/>
    <w:rsid w:val="007E7D99"/>
    <w:rsid w:val="008B59A7"/>
    <w:rsid w:val="00966B3D"/>
    <w:rsid w:val="00976AC4"/>
    <w:rsid w:val="009B3395"/>
    <w:rsid w:val="009E6009"/>
    <w:rsid w:val="009F519F"/>
    <w:rsid w:val="00B7400F"/>
    <w:rsid w:val="00B865AB"/>
    <w:rsid w:val="00C15C67"/>
    <w:rsid w:val="00C65BFA"/>
    <w:rsid w:val="00C93720"/>
    <w:rsid w:val="00D72A70"/>
    <w:rsid w:val="00DB438D"/>
    <w:rsid w:val="00E8759D"/>
    <w:rsid w:val="00EA091C"/>
    <w:rsid w:val="00F061F6"/>
    <w:rsid w:val="00F32CE8"/>
    <w:rsid w:val="00F805FF"/>
    <w:rsid w:val="00FB628F"/>
    <w:rsid w:val="00FC45C5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A70"/>
  </w:style>
  <w:style w:type="paragraph" w:styleId="Footer">
    <w:name w:val="footer"/>
    <w:basedOn w:val="Normal"/>
    <w:link w:val="FooterChar"/>
    <w:uiPriority w:val="99"/>
    <w:unhideWhenUsed/>
    <w:rsid w:val="00D7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A70"/>
  </w:style>
  <w:style w:type="paragraph" w:styleId="Footer">
    <w:name w:val="footer"/>
    <w:basedOn w:val="Normal"/>
    <w:link w:val="FooterChar"/>
    <w:uiPriority w:val="99"/>
    <w:unhideWhenUsed/>
    <w:rsid w:val="00D7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Yakubu Kokwain</dc:creator>
  <cp:lastModifiedBy>Chioma</cp:lastModifiedBy>
  <cp:revision>2</cp:revision>
  <dcterms:created xsi:type="dcterms:W3CDTF">2016-02-17T08:02:00Z</dcterms:created>
  <dcterms:modified xsi:type="dcterms:W3CDTF">2016-02-17T08:02:00Z</dcterms:modified>
</cp:coreProperties>
</file>