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ED" w:rsidRPr="00EB27D1" w:rsidRDefault="009408ED" w:rsidP="009408ED">
      <w:pPr>
        <w:shd w:val="clear" w:color="auto" w:fill="AEAAAA" w:themeFill="background2" w:themeFillShade="BF"/>
        <w:jc w:val="center"/>
        <w:rPr>
          <w:b/>
          <w:sz w:val="24"/>
          <w:szCs w:val="24"/>
        </w:rPr>
      </w:pPr>
      <w:r w:rsidRPr="00EB27D1">
        <w:rPr>
          <w:b/>
          <w:sz w:val="24"/>
          <w:szCs w:val="24"/>
        </w:rPr>
        <w:t>Minutes of food and Nutrition Committee meeting Jigawa State held on 23</w:t>
      </w:r>
      <w:r w:rsidRPr="00EB27D1">
        <w:rPr>
          <w:b/>
          <w:sz w:val="24"/>
          <w:szCs w:val="24"/>
          <w:vertAlign w:val="superscript"/>
        </w:rPr>
        <w:t>rd</w:t>
      </w:r>
      <w:r w:rsidRPr="00EB27D1">
        <w:rPr>
          <w:b/>
          <w:sz w:val="24"/>
          <w:szCs w:val="24"/>
        </w:rPr>
        <w:t>February, 2021, 11.00 a.m at JSPHCDA Conference Hall Dutse</w:t>
      </w:r>
    </w:p>
    <w:tbl>
      <w:tblPr>
        <w:tblW w:w="17616" w:type="dxa"/>
        <w:tblLook w:val="04A0" w:firstRow="1" w:lastRow="0" w:firstColumn="1" w:lastColumn="0" w:noHBand="0" w:noVBand="1"/>
      </w:tblPr>
      <w:tblGrid>
        <w:gridCol w:w="3025"/>
        <w:gridCol w:w="7100"/>
        <w:gridCol w:w="236"/>
        <w:gridCol w:w="1458"/>
        <w:gridCol w:w="236"/>
        <w:gridCol w:w="236"/>
        <w:gridCol w:w="1815"/>
        <w:gridCol w:w="3510"/>
      </w:tblGrid>
      <w:tr w:rsidR="009408ED" w:rsidTr="00AA43B1">
        <w:trPr>
          <w:trHeight w:val="300"/>
        </w:trPr>
        <w:tc>
          <w:tcPr>
            <w:tcW w:w="10125" w:type="dxa"/>
            <w:gridSpan w:val="2"/>
            <w:noWrap/>
            <w:vAlign w:val="bottom"/>
            <w:hideMark/>
          </w:tcPr>
          <w:tbl>
            <w:tblPr>
              <w:tblW w:w="9705" w:type="dxa"/>
              <w:tblLook w:val="04A0" w:firstRow="1" w:lastRow="0" w:firstColumn="1" w:lastColumn="0" w:noHBand="0" w:noVBand="1"/>
            </w:tblPr>
            <w:tblGrid>
              <w:gridCol w:w="753"/>
              <w:gridCol w:w="2167"/>
              <w:gridCol w:w="1620"/>
              <w:gridCol w:w="2214"/>
              <w:gridCol w:w="656"/>
              <w:gridCol w:w="1066"/>
              <w:gridCol w:w="1433"/>
            </w:tblGrid>
            <w:tr w:rsidR="009408ED" w:rsidTr="00AA43B1">
              <w:trPr>
                <w:trHeight w:val="300"/>
              </w:trPr>
              <w:tc>
                <w:tcPr>
                  <w:tcW w:w="2920" w:type="dxa"/>
                  <w:gridSpan w:val="2"/>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ATTENDANCE</w:t>
                  </w:r>
                </w:p>
              </w:tc>
              <w:tc>
                <w:tcPr>
                  <w:tcW w:w="1620" w:type="dxa"/>
                  <w:noWrap/>
                  <w:vAlign w:val="bottom"/>
                  <w:hideMark/>
                </w:tcPr>
                <w:p w:rsidR="009408ED" w:rsidRDefault="009408ED">
                  <w:pPr>
                    <w:rPr>
                      <w:rFonts w:ascii="Calibri" w:eastAsia="Times New Roman" w:hAnsi="Calibri" w:cs="Calibri"/>
                      <w:color w:val="000000"/>
                      <w:sz w:val="24"/>
                      <w:szCs w:val="24"/>
                    </w:rPr>
                  </w:pPr>
                </w:p>
              </w:tc>
              <w:tc>
                <w:tcPr>
                  <w:tcW w:w="2214" w:type="dxa"/>
                  <w:noWrap/>
                  <w:vAlign w:val="bottom"/>
                  <w:hideMark/>
                </w:tcPr>
                <w:p w:rsidR="009408ED" w:rsidRDefault="009408ED">
                  <w:pPr>
                    <w:spacing w:after="0"/>
                    <w:rPr>
                      <w:sz w:val="20"/>
                      <w:szCs w:val="20"/>
                    </w:rPr>
                  </w:pPr>
                </w:p>
              </w:tc>
              <w:tc>
                <w:tcPr>
                  <w:tcW w:w="656" w:type="dxa"/>
                  <w:noWrap/>
                  <w:vAlign w:val="bottom"/>
                  <w:hideMark/>
                </w:tcPr>
                <w:p w:rsidR="009408ED" w:rsidRDefault="009408ED">
                  <w:pPr>
                    <w:spacing w:after="0"/>
                    <w:rPr>
                      <w:sz w:val="20"/>
                      <w:szCs w:val="20"/>
                    </w:rPr>
                  </w:pPr>
                </w:p>
              </w:tc>
              <w:tc>
                <w:tcPr>
                  <w:tcW w:w="1066" w:type="dxa"/>
                  <w:noWrap/>
                  <w:vAlign w:val="bottom"/>
                  <w:hideMark/>
                </w:tcPr>
                <w:p w:rsidR="009408ED" w:rsidRDefault="009408ED">
                  <w:pPr>
                    <w:spacing w:after="0"/>
                    <w:rPr>
                      <w:sz w:val="20"/>
                      <w:szCs w:val="20"/>
                    </w:rPr>
                  </w:pPr>
                </w:p>
              </w:tc>
              <w:tc>
                <w:tcPr>
                  <w:tcW w:w="1229" w:type="dxa"/>
                  <w:tcBorders>
                    <w:top w:val="nil"/>
                    <w:left w:val="nil"/>
                    <w:bottom w:val="single" w:sz="4" w:space="0" w:color="auto"/>
                    <w:right w:val="nil"/>
                  </w:tcBorders>
                  <w:noWrap/>
                  <w:vAlign w:val="bottom"/>
                  <w:hideMark/>
                </w:tcPr>
                <w:p w:rsidR="009408ED" w:rsidRDefault="009408ED" w:rsidP="00AA43B1">
                  <w:pPr>
                    <w:spacing w:after="0"/>
                    <w:ind w:right="915"/>
                    <w:rPr>
                      <w:sz w:val="20"/>
                      <w:szCs w:val="20"/>
                    </w:rPr>
                  </w:pPr>
                </w:p>
              </w:tc>
            </w:tr>
            <w:tr w:rsidR="009408ED" w:rsidTr="00AA43B1">
              <w:trPr>
                <w:trHeight w:val="300"/>
              </w:trPr>
              <w:tc>
                <w:tcPr>
                  <w:tcW w:w="753" w:type="dxa"/>
                  <w:tcBorders>
                    <w:top w:val="single" w:sz="4" w:space="0" w:color="auto"/>
                    <w:left w:val="single" w:sz="4" w:space="0" w:color="auto"/>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S/NO</w:t>
                  </w:r>
                </w:p>
              </w:tc>
              <w:tc>
                <w:tcPr>
                  <w:tcW w:w="2167" w:type="dxa"/>
                  <w:tcBorders>
                    <w:top w:val="single" w:sz="4" w:space="0" w:color="auto"/>
                    <w:left w:val="nil"/>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Names</w:t>
                  </w:r>
                </w:p>
              </w:tc>
              <w:tc>
                <w:tcPr>
                  <w:tcW w:w="1620" w:type="dxa"/>
                  <w:tcBorders>
                    <w:top w:val="single" w:sz="4" w:space="0" w:color="auto"/>
                    <w:left w:val="nil"/>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Organization</w:t>
                  </w:r>
                </w:p>
              </w:tc>
              <w:tc>
                <w:tcPr>
                  <w:tcW w:w="2214" w:type="dxa"/>
                  <w:tcBorders>
                    <w:top w:val="single" w:sz="4" w:space="0" w:color="auto"/>
                    <w:left w:val="nil"/>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Designation</w:t>
                  </w:r>
                </w:p>
              </w:tc>
              <w:tc>
                <w:tcPr>
                  <w:tcW w:w="656" w:type="dxa"/>
                  <w:tcBorders>
                    <w:top w:val="single" w:sz="4" w:space="0" w:color="auto"/>
                    <w:left w:val="nil"/>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Sex</w:t>
                  </w:r>
                </w:p>
              </w:tc>
              <w:tc>
                <w:tcPr>
                  <w:tcW w:w="1066" w:type="dxa"/>
                  <w:tcBorders>
                    <w:top w:val="single" w:sz="4" w:space="0" w:color="auto"/>
                    <w:left w:val="nil"/>
                    <w:bottom w:val="single" w:sz="4" w:space="0" w:color="auto"/>
                    <w:right w:val="single" w:sz="4" w:space="0" w:color="auto"/>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Location</w:t>
                  </w:r>
                </w:p>
              </w:tc>
              <w:tc>
                <w:tcPr>
                  <w:tcW w:w="1229" w:type="dxa"/>
                  <w:tcBorders>
                    <w:top w:val="single" w:sz="4" w:space="0" w:color="auto"/>
                    <w:left w:val="nil"/>
                    <w:bottom w:val="single" w:sz="4" w:space="0" w:color="auto"/>
                    <w:right w:val="nil"/>
                  </w:tcBorders>
                  <w:noWrap/>
                  <w:vAlign w:val="bottom"/>
                  <w:hideMark/>
                </w:tcPr>
                <w:p w:rsidR="009408ED" w:rsidRPr="00EB27D1" w:rsidRDefault="009408ED">
                  <w:pPr>
                    <w:spacing w:after="0" w:line="240" w:lineRule="auto"/>
                    <w:jc w:val="center"/>
                    <w:rPr>
                      <w:rFonts w:ascii="Calibri" w:eastAsia="Times New Roman" w:hAnsi="Calibri" w:cs="Calibri"/>
                      <w:b/>
                      <w:color w:val="000000"/>
                      <w:sz w:val="24"/>
                      <w:szCs w:val="24"/>
                    </w:rPr>
                  </w:pPr>
                  <w:r w:rsidRPr="00EB27D1">
                    <w:rPr>
                      <w:rFonts w:ascii="Calibri" w:eastAsia="Times New Roman" w:hAnsi="Calibri" w:cs="Calibri"/>
                      <w:b/>
                      <w:color w:val="000000"/>
                      <w:sz w:val="24"/>
                      <w:szCs w:val="24"/>
                    </w:rPr>
                    <w:t>Phone No</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Ksbir Ibrahim</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ES</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8165284209</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Shehu Sale</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DM&amp;C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8036003610</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Saidu Umar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SNO</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803427586</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Bashir Umar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Min of Agric</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Director</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7034227225</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Hauwa Sule RNG</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MWASD</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DWA</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8036091611</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Sadiya Muhd</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JARDA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7034925127</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Aliyu Musa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SUBEB</w:t>
                  </w:r>
                </w:p>
              </w:tc>
              <w:tc>
                <w:tcPr>
                  <w:tcW w:w="2214" w:type="dxa"/>
                  <w:tcBorders>
                    <w:top w:val="nil"/>
                    <w:left w:val="nil"/>
                    <w:bottom w:val="single" w:sz="4" w:space="0" w:color="auto"/>
                    <w:right w:val="single" w:sz="4" w:space="0" w:color="auto"/>
                  </w:tcBorders>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Director G&amp;C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8036541775</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Hassan M.A.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UNICEF</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C4D LEAD</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8036653937</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Muhd H kwalam</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Jigawa Radio</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News Editor</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8026800853</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Saidu Zakari</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N/officer</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7064834163</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Magaji Uba Ahmad</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DD N.S.</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7037954976</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Balarabe Alhassan</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SMOLG</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DPHC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7031669212</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Sunusi Hassan</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HORM</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8035695291</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14</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Yusif Usman Abubkar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DD Planning</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8038495214</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Muhammad Ahmad</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JICON</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Secretary</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8038653739</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Yusuf Bashir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Dir Planning</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8038843392</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17</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Badamasi Musa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DDPHC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8066201100</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18</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Musbahu Basirka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CSO</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Chairman</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7066660156</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Junaid Saleh</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BEPD</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CEO Budget</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8034591128</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Sammani A Adam</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SSGs Office</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8065274343</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21</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Yahaya Yau</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DD PHC</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703209259</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22</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Rabiu Garba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SMOLT</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SM&amp;E</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7030155566</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23</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Ismail Yakubu</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MIYSC</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Dir Information</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8064921411</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24</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Abdulkadir Yakubu</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PM </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8029180665</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25</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Bello Umar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 Health</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8065837030</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26</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Ibrahim Y Darai</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JSPHCDA</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SHEO</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8033629331</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28</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Tijjani Garba</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CBO</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Member</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8065897829</w:t>
                  </w:r>
                </w:p>
              </w:tc>
            </w:tr>
            <w:tr w:rsidR="009408ED" w:rsidTr="00AA43B1">
              <w:trPr>
                <w:trHeight w:val="300"/>
              </w:trPr>
              <w:tc>
                <w:tcPr>
                  <w:tcW w:w="753" w:type="dxa"/>
                  <w:tcBorders>
                    <w:top w:val="nil"/>
                    <w:left w:val="single" w:sz="4" w:space="0" w:color="auto"/>
                    <w:bottom w:val="single" w:sz="4" w:space="0" w:color="auto"/>
                    <w:right w:val="single" w:sz="4" w:space="0" w:color="auto"/>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29</w:t>
                  </w:r>
                </w:p>
              </w:tc>
              <w:tc>
                <w:tcPr>
                  <w:tcW w:w="2167"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Usman A. Tashir</w:t>
                  </w:r>
                </w:p>
              </w:tc>
              <w:tc>
                <w:tcPr>
                  <w:tcW w:w="1620"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DDHED</w:t>
                  </w:r>
                </w:p>
              </w:tc>
              <w:tc>
                <w:tcPr>
                  <w:tcW w:w="2214"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Rep</w:t>
                  </w:r>
                </w:p>
              </w:tc>
              <w:tc>
                <w:tcPr>
                  <w:tcW w:w="65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p>
              </w:tc>
              <w:tc>
                <w:tcPr>
                  <w:tcW w:w="1066" w:type="dxa"/>
                  <w:tcBorders>
                    <w:top w:val="nil"/>
                    <w:left w:val="nil"/>
                    <w:bottom w:val="single" w:sz="4" w:space="0" w:color="auto"/>
                    <w:right w:val="single" w:sz="4" w:space="0" w:color="auto"/>
                  </w:tcBorders>
                  <w:noWrap/>
                  <w:vAlign w:val="bottom"/>
                  <w:hideMark/>
                </w:tcPr>
                <w:p w:rsidR="009408ED" w:rsidRDefault="009408E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Dutse</w:t>
                  </w:r>
                </w:p>
              </w:tc>
              <w:tc>
                <w:tcPr>
                  <w:tcW w:w="1229" w:type="dxa"/>
                  <w:tcBorders>
                    <w:top w:val="single" w:sz="4" w:space="0" w:color="auto"/>
                    <w:left w:val="nil"/>
                    <w:bottom w:val="single" w:sz="4" w:space="0" w:color="auto"/>
                    <w:right w:val="nil"/>
                  </w:tcBorders>
                  <w:noWrap/>
                  <w:vAlign w:val="bottom"/>
                  <w:hideMark/>
                </w:tcPr>
                <w:p w:rsidR="009408ED" w:rsidRDefault="009408E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8036919848</w:t>
                  </w:r>
                </w:p>
              </w:tc>
            </w:tr>
          </w:tbl>
          <w:p w:rsidR="009408ED" w:rsidRDefault="009408ED">
            <w:pPr>
              <w:spacing w:after="0" w:line="240" w:lineRule="auto"/>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Times New Roman" w:eastAsia="Times New Roman" w:hAnsi="Times New Roman" w:cs="Times New Roman"/>
                <w:sz w:val="24"/>
                <w:szCs w:val="24"/>
              </w:rPr>
            </w:pPr>
          </w:p>
        </w:tc>
        <w:tc>
          <w:tcPr>
            <w:tcW w:w="3510" w:type="dxa"/>
            <w:noWrap/>
            <w:vAlign w:val="bottom"/>
          </w:tcPr>
          <w:p w:rsidR="009408ED" w:rsidRDefault="009408ED">
            <w:pPr>
              <w:spacing w:after="0" w:line="240" w:lineRule="auto"/>
              <w:rPr>
                <w:rFonts w:ascii="Times New Roman" w:eastAsia="Times New Roman" w:hAnsi="Times New Roman" w:cs="Times New Roman"/>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jc w:val="center"/>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rsidP="000D1D79">
            <w:pPr>
              <w:spacing w:after="0" w:line="240" w:lineRule="auto"/>
              <w:jc w:val="both"/>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gridAfter w:val="2"/>
          <w:wAfter w:w="5325" w:type="dxa"/>
          <w:trHeight w:val="300"/>
        </w:trPr>
        <w:tc>
          <w:tcPr>
            <w:tcW w:w="3025" w:type="dxa"/>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8794" w:type="dxa"/>
            <w:gridSpan w:val="3"/>
            <w:noWrap/>
            <w:vAlign w:val="bottom"/>
          </w:tcPr>
          <w:p w:rsidR="009408ED" w:rsidRDefault="009408ED">
            <w:pPr>
              <w:spacing w:after="0" w:line="240" w:lineRule="auto"/>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rsidP="00AA43B1">
            <w:pPr>
              <w:spacing w:after="0" w:line="240" w:lineRule="auto"/>
              <w:ind w:left="-510"/>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900"/>
        </w:trPr>
        <w:tc>
          <w:tcPr>
            <w:tcW w:w="10125" w:type="dxa"/>
            <w:gridSpan w:val="2"/>
            <w:noWrap/>
            <w:vAlign w:val="bottom"/>
          </w:tcPr>
          <w:p w:rsidR="009408ED" w:rsidRDefault="009408ED" w:rsidP="00AA43B1">
            <w:pPr>
              <w:ind w:right="30"/>
              <w:jc w:val="both"/>
              <w:rPr>
                <w:sz w:val="24"/>
                <w:szCs w:val="24"/>
              </w:rPr>
            </w:pPr>
            <w:r>
              <w:rPr>
                <w:sz w:val="24"/>
                <w:szCs w:val="24"/>
              </w:rPr>
              <w:lastRenderedPageBreak/>
              <w:t>The meeting commenced with an opening prayer and self-introduction by the participants. This was followed with an opening Remarks by Dr. Kabir Ibrahim Aliyu (Executive Secretary PHCDA) who chaired the food and Nutrition committee meeting for the first quarter of the year 2021. In his remarks, he welcomed all the participants to the meeting and reitera</w:t>
            </w:r>
            <w:bookmarkStart w:id="0" w:name="_GoBack"/>
            <w:bookmarkEnd w:id="0"/>
            <w:r>
              <w:rPr>
                <w:sz w:val="24"/>
                <w:szCs w:val="24"/>
              </w:rPr>
              <w:t xml:space="preserve">ted the need for a continued coordination and living standards in the State. He emphasized the commitment of Government and its partners in mitigating malnutrition in the State. He finally asked for a continued support of all stakeholders in fighting the menace of malnutrition in our State and wished all participants fruitful deliberation.  </w:t>
            </w:r>
          </w:p>
          <w:p w:rsidR="009408ED" w:rsidRDefault="009408ED">
            <w:pPr>
              <w:jc w:val="both"/>
              <w:rPr>
                <w:sz w:val="24"/>
                <w:szCs w:val="24"/>
              </w:rPr>
            </w:pPr>
            <w:r>
              <w:rPr>
                <w:sz w:val="24"/>
                <w:szCs w:val="24"/>
              </w:rPr>
              <w:t>The minute from the previous meeting were reviewed. Malam Sa’id moved for the adoption of the minute and this was seconded by Dr. Kabir and the content of the minutes of meeting endorsed as a true reflection of the discussion held in the last meeting (10</w:t>
            </w:r>
            <w:r>
              <w:rPr>
                <w:sz w:val="24"/>
                <w:szCs w:val="24"/>
                <w:vertAlign w:val="superscript"/>
              </w:rPr>
              <w:t>th</w:t>
            </w:r>
            <w:r>
              <w:rPr>
                <w:sz w:val="24"/>
                <w:szCs w:val="24"/>
              </w:rPr>
              <w:t xml:space="preserve"> November,2020). The adoption of the minutes from previous meeting (10</w:t>
            </w:r>
            <w:r>
              <w:rPr>
                <w:sz w:val="24"/>
                <w:szCs w:val="24"/>
                <w:vertAlign w:val="superscript"/>
              </w:rPr>
              <w:t>th</w:t>
            </w:r>
            <w:r>
              <w:rPr>
                <w:sz w:val="24"/>
                <w:szCs w:val="24"/>
              </w:rPr>
              <w:t xml:space="preserve"> November,2020),  and the minutes were adopted.</w:t>
            </w:r>
          </w:p>
          <w:p w:rsidR="009408ED" w:rsidRDefault="009408ED">
            <w:pPr>
              <w:jc w:val="both"/>
              <w:rPr>
                <w:sz w:val="24"/>
                <w:szCs w:val="24"/>
              </w:rPr>
            </w:pPr>
            <w:r>
              <w:rPr>
                <w:sz w:val="24"/>
                <w:szCs w:val="24"/>
              </w:rPr>
              <w:t>E.S. emphasizes on committee meeting of 45 participants which will take place at Kamo the following week to discuss on the previous action points. He further said that the control over malnutrition requires the integration of nutrition work from other sector. It’s also a fundamental achievement that monthly funding from Local Government for nutrition has been established which as a result, sensitization has often been provided to the Local Government Chairmen on adolescents IFAS ware observational study was designed. During budget discussion with State House of assembly, there was a debate on the need to increase nutrition funding and committed to ensure the release of funds for nutrition and effective implementation.</w:t>
            </w:r>
          </w:p>
          <w:p w:rsidR="009408ED" w:rsidRDefault="009408ED">
            <w:pPr>
              <w:jc w:val="both"/>
              <w:rPr>
                <w:sz w:val="24"/>
                <w:szCs w:val="24"/>
              </w:rPr>
            </w:pPr>
            <w:r>
              <w:rPr>
                <w:sz w:val="24"/>
                <w:szCs w:val="24"/>
              </w:rPr>
              <w:t xml:space="preserve">Overview of 2020 nutrition activities was presented by State nutrition officer. State nutrition plan in 2020 was conducted and developed quarterly. He commended that data collection is very important in CH analysis and that there is need for collaborations to streamline the analysis.  </w:t>
            </w:r>
          </w:p>
          <w:p w:rsidR="009408ED" w:rsidRDefault="009408ED">
            <w:pPr>
              <w:jc w:val="both"/>
              <w:rPr>
                <w:sz w:val="24"/>
                <w:szCs w:val="24"/>
              </w:rPr>
            </w:pPr>
            <w:r>
              <w:rPr>
                <w:sz w:val="24"/>
                <w:szCs w:val="24"/>
              </w:rPr>
              <w:t>Dr. Sambo noticed that there is need to leverage on Basic healthcare program funds, to make use the opportunity and make our wards local facilities more functional and vibrant, so that we can actualized our correct data on nutrition.</w:t>
            </w:r>
          </w:p>
          <w:p w:rsidR="009408ED" w:rsidRDefault="009408ED">
            <w:pPr>
              <w:jc w:val="both"/>
              <w:rPr>
                <w:sz w:val="24"/>
                <w:szCs w:val="24"/>
              </w:rPr>
            </w:pPr>
            <w:r>
              <w:rPr>
                <w:sz w:val="24"/>
                <w:szCs w:val="24"/>
              </w:rPr>
              <w:t>Malam Aliyu from SUBEB has suggested that, there is also need to include the use of collecting concrete data of nutrition by having a kind of research. The idea was supported by the ES Dr. Kabiru and comrade Musbshu Basirka and so many contributions was made on this point, and Dr. Sambo again observed that, he was at the State store i.e. the store of the State ministry of health, were he saw a lot of the printed copies of nutrition policies and documents kept. He suggested that there is need for the committee to look at this issue. Moreover, Malam Aliyu also made an observation on the school feeding, were he called for the review. The matter was discussed and suggestion was made by Dr. Bashir, that let the committee review the status of the school feeding first.</w:t>
            </w:r>
          </w:p>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spacing w:after="0" w:line="240" w:lineRule="auto"/>
              <w:jc w:val="center"/>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r w:rsidR="009408ED" w:rsidTr="00AA43B1">
        <w:trPr>
          <w:trHeight w:val="300"/>
        </w:trPr>
        <w:tc>
          <w:tcPr>
            <w:tcW w:w="10125" w:type="dxa"/>
            <w:gridSpan w:val="2"/>
            <w:noWrap/>
            <w:vAlign w:val="bottom"/>
          </w:tcPr>
          <w:p w:rsidR="009408ED" w:rsidRDefault="009408ED">
            <w:pPr>
              <w:jc w:val="both"/>
              <w:rPr>
                <w:sz w:val="24"/>
                <w:szCs w:val="24"/>
              </w:rPr>
            </w:pPr>
            <w:r>
              <w:rPr>
                <w:sz w:val="24"/>
                <w:szCs w:val="24"/>
              </w:rPr>
              <w:t>The Director Agric. From the State inform the committee that there will be a survey coming up across the six political zone on nutrition status, related to agricultural sector, in which he seeks for the permission from the chairman to read the objective of the exercise.</w:t>
            </w:r>
          </w:p>
          <w:p w:rsidR="009408ED" w:rsidRDefault="009408ED">
            <w:pPr>
              <w:jc w:val="both"/>
              <w:rPr>
                <w:sz w:val="24"/>
                <w:szCs w:val="24"/>
              </w:rPr>
            </w:pPr>
            <w:r>
              <w:rPr>
                <w:sz w:val="24"/>
                <w:szCs w:val="24"/>
              </w:rPr>
              <w:t xml:space="preserve">ACTION PLAN: </w:t>
            </w:r>
          </w:p>
          <w:p w:rsidR="009408ED" w:rsidRDefault="009408ED" w:rsidP="001777F5">
            <w:pPr>
              <w:pStyle w:val="ListParagraph"/>
              <w:numPr>
                <w:ilvl w:val="0"/>
                <w:numId w:val="1"/>
              </w:numPr>
              <w:jc w:val="both"/>
              <w:rPr>
                <w:sz w:val="24"/>
                <w:szCs w:val="24"/>
              </w:rPr>
            </w:pPr>
            <w:r>
              <w:rPr>
                <w:sz w:val="24"/>
                <w:szCs w:val="24"/>
              </w:rPr>
              <w:t>Effort to increase food production, availability and accessibility, as well as investments in nutrition education, should be intensified.</w:t>
            </w:r>
          </w:p>
          <w:p w:rsidR="009408ED" w:rsidRDefault="009408ED" w:rsidP="001777F5">
            <w:pPr>
              <w:pStyle w:val="ListParagraph"/>
              <w:numPr>
                <w:ilvl w:val="0"/>
                <w:numId w:val="1"/>
              </w:numPr>
              <w:jc w:val="both"/>
              <w:rPr>
                <w:sz w:val="24"/>
                <w:szCs w:val="24"/>
              </w:rPr>
            </w:pPr>
            <w:r>
              <w:rPr>
                <w:sz w:val="24"/>
                <w:szCs w:val="24"/>
              </w:rPr>
              <w:t>Adequate budgetary allocation and timely releases of fund for Nutrition to ensure sustain nutrition intervention activities by the State House of Assembly on the releases and utilization of funds.</w:t>
            </w:r>
          </w:p>
          <w:p w:rsidR="009408ED" w:rsidRDefault="009408ED" w:rsidP="001777F5">
            <w:pPr>
              <w:pStyle w:val="ListParagraph"/>
              <w:numPr>
                <w:ilvl w:val="0"/>
                <w:numId w:val="1"/>
              </w:numPr>
              <w:jc w:val="both"/>
              <w:rPr>
                <w:sz w:val="24"/>
                <w:szCs w:val="24"/>
              </w:rPr>
            </w:pPr>
            <w:r>
              <w:rPr>
                <w:sz w:val="24"/>
                <w:szCs w:val="24"/>
              </w:rPr>
              <w:t>A multi-pronged approach is required in dealing with persistent challenge of malnutrition.</w:t>
            </w:r>
          </w:p>
          <w:p w:rsidR="009408ED" w:rsidRDefault="009408ED" w:rsidP="001777F5">
            <w:pPr>
              <w:pStyle w:val="ListParagraph"/>
              <w:numPr>
                <w:ilvl w:val="0"/>
                <w:numId w:val="1"/>
              </w:numPr>
              <w:jc w:val="both"/>
              <w:rPr>
                <w:sz w:val="24"/>
                <w:szCs w:val="24"/>
              </w:rPr>
            </w:pPr>
            <w:r>
              <w:rPr>
                <w:sz w:val="24"/>
                <w:szCs w:val="24"/>
              </w:rPr>
              <w:t xml:space="preserve">Civil society organizations should work jointly to ensure public accountability on funds disbursement for nutrition intervention as well as increased sensitization on nutrition activities. </w:t>
            </w:r>
          </w:p>
          <w:p w:rsidR="009408ED" w:rsidRDefault="009408ED" w:rsidP="001777F5">
            <w:pPr>
              <w:pStyle w:val="ListParagraph"/>
              <w:numPr>
                <w:ilvl w:val="0"/>
                <w:numId w:val="1"/>
              </w:numPr>
              <w:jc w:val="both"/>
              <w:rPr>
                <w:sz w:val="24"/>
                <w:szCs w:val="24"/>
              </w:rPr>
            </w:pPr>
            <w:r>
              <w:rPr>
                <w:sz w:val="24"/>
                <w:szCs w:val="24"/>
              </w:rPr>
              <w:t>Strengthening community engagement (including sensitization, joint CFM and systematic referral pathway.</w:t>
            </w:r>
          </w:p>
          <w:p w:rsidR="009408ED" w:rsidRDefault="009408ED">
            <w:pPr>
              <w:jc w:val="both"/>
              <w:rPr>
                <w:sz w:val="24"/>
                <w:szCs w:val="24"/>
              </w:rPr>
            </w:pPr>
            <w:r>
              <w:rPr>
                <w:sz w:val="24"/>
                <w:szCs w:val="24"/>
              </w:rPr>
              <w:t>A closing remark was made by Junaid Saleh from Directorate of Budget and Economic planning on behalf of the Director Budget and the meeting was adjoined at 3:30 p.m. after a closing prayer.</w:t>
            </w:r>
          </w:p>
          <w:p w:rsidR="009408ED" w:rsidRDefault="009408ED">
            <w:pPr>
              <w:spacing w:after="0" w:line="240" w:lineRule="auto"/>
              <w:rPr>
                <w:rFonts w:ascii="Calibri" w:eastAsia="Times New Roman" w:hAnsi="Calibri" w:cs="Calibri"/>
                <w:color w:val="000000"/>
                <w:sz w:val="24"/>
                <w:szCs w:val="24"/>
              </w:rPr>
            </w:pPr>
          </w:p>
        </w:tc>
        <w:tc>
          <w:tcPr>
            <w:tcW w:w="236" w:type="dxa"/>
            <w:noWrap/>
            <w:vAlign w:val="bottom"/>
          </w:tcPr>
          <w:p w:rsidR="009408ED" w:rsidRDefault="009408ED">
            <w:pPr>
              <w:spacing w:after="0" w:line="240" w:lineRule="auto"/>
              <w:rPr>
                <w:rFonts w:ascii="Calibri" w:eastAsia="Times New Roman" w:hAnsi="Calibri" w:cs="Calibri"/>
                <w:color w:val="000000"/>
                <w:sz w:val="24"/>
                <w:szCs w:val="24"/>
              </w:rPr>
            </w:pPr>
          </w:p>
        </w:tc>
        <w:tc>
          <w:tcPr>
            <w:tcW w:w="3745" w:type="dxa"/>
            <w:gridSpan w:val="4"/>
            <w:noWrap/>
            <w:vAlign w:val="bottom"/>
          </w:tcPr>
          <w:p w:rsidR="009408ED" w:rsidRDefault="009408ED">
            <w:pPr>
              <w:spacing w:after="0" w:line="240" w:lineRule="auto"/>
              <w:rPr>
                <w:rFonts w:ascii="Calibri" w:eastAsia="Times New Roman" w:hAnsi="Calibri" w:cs="Calibri"/>
                <w:color w:val="000000"/>
                <w:sz w:val="24"/>
                <w:szCs w:val="24"/>
              </w:rPr>
            </w:pPr>
          </w:p>
        </w:tc>
        <w:tc>
          <w:tcPr>
            <w:tcW w:w="3510" w:type="dxa"/>
            <w:noWrap/>
            <w:vAlign w:val="bottom"/>
          </w:tcPr>
          <w:p w:rsidR="009408ED" w:rsidRDefault="009408ED">
            <w:pPr>
              <w:spacing w:after="0" w:line="240" w:lineRule="auto"/>
              <w:rPr>
                <w:rFonts w:ascii="Calibri" w:eastAsia="Times New Roman" w:hAnsi="Calibri" w:cs="Calibri"/>
                <w:color w:val="000000"/>
                <w:sz w:val="24"/>
                <w:szCs w:val="24"/>
              </w:rPr>
            </w:pPr>
          </w:p>
        </w:tc>
      </w:tr>
    </w:tbl>
    <w:p w:rsidR="005F64C5" w:rsidRDefault="005F64C5"/>
    <w:sectPr w:rsidR="005F6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80" w:rsidRDefault="00781180" w:rsidP="000D1D79">
      <w:pPr>
        <w:spacing w:after="0" w:line="240" w:lineRule="auto"/>
      </w:pPr>
      <w:r>
        <w:separator/>
      </w:r>
    </w:p>
  </w:endnote>
  <w:endnote w:type="continuationSeparator" w:id="0">
    <w:p w:rsidR="00781180" w:rsidRDefault="00781180" w:rsidP="000D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80" w:rsidRDefault="00781180" w:rsidP="000D1D79">
      <w:pPr>
        <w:spacing w:after="0" w:line="240" w:lineRule="auto"/>
      </w:pPr>
      <w:r>
        <w:separator/>
      </w:r>
    </w:p>
  </w:footnote>
  <w:footnote w:type="continuationSeparator" w:id="0">
    <w:p w:rsidR="00781180" w:rsidRDefault="00781180" w:rsidP="000D1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45073"/>
    <w:multiLevelType w:val="hybridMultilevel"/>
    <w:tmpl w:val="F19A3C9C"/>
    <w:lvl w:ilvl="0" w:tplc="207ED264">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C4"/>
    <w:rsid w:val="000D1D79"/>
    <w:rsid w:val="00142A1E"/>
    <w:rsid w:val="005F64C5"/>
    <w:rsid w:val="00781180"/>
    <w:rsid w:val="009408ED"/>
    <w:rsid w:val="00AA43B1"/>
    <w:rsid w:val="00BE53C4"/>
    <w:rsid w:val="00BE73B2"/>
    <w:rsid w:val="00E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526D"/>
  <w15:chartTrackingRefBased/>
  <w15:docId w15:val="{66D9C915-D2BF-46C3-B48A-D77C203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ED"/>
    <w:pPr>
      <w:ind w:left="720"/>
      <w:contextualSpacing/>
    </w:pPr>
  </w:style>
  <w:style w:type="paragraph" w:styleId="Header">
    <w:name w:val="header"/>
    <w:basedOn w:val="Normal"/>
    <w:link w:val="HeaderChar"/>
    <w:uiPriority w:val="99"/>
    <w:unhideWhenUsed/>
    <w:rsid w:val="000D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79"/>
  </w:style>
  <w:style w:type="paragraph" w:styleId="Footer">
    <w:name w:val="footer"/>
    <w:basedOn w:val="Normal"/>
    <w:link w:val="FooterChar"/>
    <w:uiPriority w:val="99"/>
    <w:unhideWhenUsed/>
    <w:rsid w:val="000D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JG-SLOGOR-091</dc:creator>
  <cp:keywords/>
  <dc:description/>
  <cp:lastModifiedBy>hp</cp:lastModifiedBy>
  <cp:revision>3</cp:revision>
  <dcterms:created xsi:type="dcterms:W3CDTF">2021-08-05T13:38:00Z</dcterms:created>
  <dcterms:modified xsi:type="dcterms:W3CDTF">2021-08-05T13:43:00Z</dcterms:modified>
</cp:coreProperties>
</file>