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01" w:rsidRPr="00AB274D" w:rsidRDefault="00ED6D01" w:rsidP="00ED6D01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r>
        <w:rPr>
          <w:rFonts w:ascii="Garamond" w:hAnsi="Garamond"/>
          <w:noProof/>
          <w:color w:val="008080"/>
          <w:kern w:val="32"/>
          <w:sz w:val="26"/>
          <w:szCs w:val="26"/>
          <w:lang w:val="en-US"/>
        </w:rPr>
        <w:drawing>
          <wp:inline distT="0" distB="0" distL="0" distR="0">
            <wp:extent cx="2305050" cy="1162050"/>
            <wp:effectExtent l="19050" t="0" r="0" b="0"/>
            <wp:docPr id="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01" w:rsidRPr="00AB274D" w:rsidRDefault="00ED6D01" w:rsidP="00ED6D01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28"/>
          <w:szCs w:val="28"/>
        </w:rPr>
      </w:pPr>
      <w:r w:rsidRPr="00AB274D">
        <w:rPr>
          <w:rFonts w:ascii="Garamond" w:hAnsi="Garamond"/>
          <w:b/>
          <w:sz w:val="28"/>
          <w:szCs w:val="28"/>
        </w:rPr>
        <w:t>STATE-SPECIFIC RECOMMENDATIONS</w:t>
      </w:r>
    </w:p>
    <w:p w:rsidR="00ED6D01" w:rsidRPr="00E95BF1" w:rsidRDefault="00ED6D01" w:rsidP="00ED6D01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4"/>
          <w:szCs w:val="26"/>
        </w:rPr>
      </w:pPr>
    </w:p>
    <w:p w:rsidR="00ED6D01" w:rsidRDefault="00ED6D01" w:rsidP="00ED6D01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 w:rsidRPr="00AB274D">
        <w:rPr>
          <w:rFonts w:ascii="Garamond" w:hAnsi="Garamond"/>
          <w:b/>
          <w:sz w:val="28"/>
          <w:szCs w:val="28"/>
          <w:u w:val="single"/>
        </w:rPr>
        <w:t xml:space="preserve">Scorecard for </w:t>
      </w:r>
      <w:r>
        <w:rPr>
          <w:rFonts w:ascii="Garamond" w:hAnsi="Garamond"/>
          <w:b/>
          <w:sz w:val="28"/>
          <w:szCs w:val="28"/>
          <w:u w:val="single"/>
        </w:rPr>
        <w:t>Kaduna</w:t>
      </w:r>
      <w:r w:rsidRPr="00AB274D">
        <w:rPr>
          <w:rFonts w:ascii="Garamond" w:hAnsi="Garamond"/>
          <w:b/>
          <w:sz w:val="28"/>
          <w:szCs w:val="28"/>
          <w:u w:val="single"/>
        </w:rPr>
        <w:t xml:space="preserve"> State</w:t>
      </w:r>
    </w:p>
    <w:p w:rsidR="00ED6D01" w:rsidRPr="00ED6D01" w:rsidRDefault="00ED6D01" w:rsidP="00ED6D01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14"/>
          <w:szCs w:val="28"/>
          <w:u w:val="single"/>
        </w:rPr>
      </w:pPr>
    </w:p>
    <w:p w:rsidR="001943F1" w:rsidRDefault="006B19E1" w:rsidP="00ED6D01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State’s IGR</w:t>
      </w:r>
      <w:r w:rsidRPr="00ED6D01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grew by only 2.5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>%</w:t>
      </w:r>
      <w:r w:rsidRPr="00ED6D01">
        <w:rPr>
          <w:rFonts w:ascii="Garamond" w:hAnsi="Garamond"/>
          <w:sz w:val="26"/>
          <w:szCs w:val="26"/>
        </w:rPr>
        <w:t xml:space="preserve"> in the </w:t>
      </w:r>
      <w:r>
        <w:rPr>
          <w:rFonts w:ascii="Garamond" w:hAnsi="Garamond"/>
          <w:sz w:val="26"/>
          <w:szCs w:val="26"/>
        </w:rPr>
        <w:t>l</w:t>
      </w:r>
      <w:r w:rsidRPr="00ED6D01">
        <w:rPr>
          <w:rFonts w:ascii="Garamond" w:hAnsi="Garamond"/>
          <w:sz w:val="26"/>
          <w:szCs w:val="26"/>
        </w:rPr>
        <w:t>ast 5</w:t>
      </w:r>
      <w:r>
        <w:rPr>
          <w:rFonts w:ascii="Garamond" w:hAnsi="Garamond"/>
          <w:sz w:val="26"/>
          <w:szCs w:val="26"/>
        </w:rPr>
        <w:t xml:space="preserve"> years, </w:t>
      </w:r>
      <w:r w:rsidRPr="00ED6D01">
        <w:rPr>
          <w:rFonts w:ascii="Garamond" w:hAnsi="Garamond"/>
          <w:sz w:val="26"/>
          <w:szCs w:val="26"/>
        </w:rPr>
        <w:t xml:space="preserve">from </w:t>
      </w:r>
      <w:r>
        <w:rPr>
          <w:rFonts w:ascii="Garamond" w:hAnsi="Garamond"/>
          <w:sz w:val="26"/>
          <w:szCs w:val="26"/>
        </w:rPr>
        <w:t>N11.6 billion in 2010 to N12.8 billion in 2014. It</w:t>
      </w:r>
      <w:r w:rsidR="009835AB" w:rsidRPr="00ED6D01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also </w:t>
      </w:r>
      <w:r w:rsidR="009835AB" w:rsidRPr="00ED6D01">
        <w:rPr>
          <w:rFonts w:ascii="Garamond" w:hAnsi="Garamond"/>
          <w:sz w:val="26"/>
          <w:szCs w:val="26"/>
        </w:rPr>
        <w:t>account</w:t>
      </w:r>
      <w:r>
        <w:rPr>
          <w:rFonts w:ascii="Garamond" w:hAnsi="Garamond"/>
          <w:sz w:val="26"/>
          <w:szCs w:val="26"/>
        </w:rPr>
        <w:t>ed</w:t>
      </w:r>
      <w:r w:rsidR="009835AB" w:rsidRPr="00ED6D01">
        <w:rPr>
          <w:rFonts w:ascii="Garamond" w:hAnsi="Garamond"/>
          <w:sz w:val="26"/>
          <w:szCs w:val="26"/>
        </w:rPr>
        <w:t xml:space="preserve"> for </w:t>
      </w:r>
      <w:r w:rsidR="00ED6D01">
        <w:rPr>
          <w:rFonts w:ascii="Garamond" w:hAnsi="Garamond"/>
          <w:sz w:val="26"/>
          <w:szCs w:val="26"/>
        </w:rPr>
        <w:t>15.9%</w:t>
      </w:r>
      <w:r w:rsidR="001943F1" w:rsidRPr="00ED6D01">
        <w:rPr>
          <w:rFonts w:ascii="Garamond" w:hAnsi="Garamond"/>
          <w:sz w:val="26"/>
          <w:szCs w:val="26"/>
        </w:rPr>
        <w:t xml:space="preserve"> of the</w:t>
      </w:r>
      <w:r>
        <w:rPr>
          <w:rFonts w:ascii="Garamond" w:hAnsi="Garamond"/>
          <w:sz w:val="26"/>
          <w:szCs w:val="26"/>
        </w:rPr>
        <w:t xml:space="preserve"> State’s</w:t>
      </w:r>
      <w:r w:rsidR="001943F1" w:rsidRPr="00ED6D01">
        <w:rPr>
          <w:rFonts w:ascii="Garamond" w:hAnsi="Garamond"/>
          <w:sz w:val="26"/>
          <w:szCs w:val="26"/>
        </w:rPr>
        <w:t xml:space="preserve"> total </w:t>
      </w:r>
      <w:r w:rsidR="000A1C27" w:rsidRPr="00ED6D01">
        <w:rPr>
          <w:rFonts w:ascii="Garamond" w:hAnsi="Garamond"/>
          <w:sz w:val="26"/>
          <w:szCs w:val="26"/>
        </w:rPr>
        <w:t xml:space="preserve">recurrent </w:t>
      </w:r>
      <w:r w:rsidR="001943F1" w:rsidRPr="00ED6D01">
        <w:rPr>
          <w:rFonts w:ascii="Garamond" w:hAnsi="Garamond"/>
          <w:sz w:val="26"/>
          <w:szCs w:val="26"/>
        </w:rPr>
        <w:t xml:space="preserve">revenue, implying that </w:t>
      </w:r>
      <w:r w:rsidR="00ED6D01">
        <w:rPr>
          <w:rFonts w:ascii="Garamond" w:hAnsi="Garamond"/>
          <w:sz w:val="26"/>
          <w:szCs w:val="26"/>
        </w:rPr>
        <w:t>around 84</w:t>
      </w:r>
      <w:r w:rsidR="001943F1" w:rsidRPr="00ED6D01">
        <w:rPr>
          <w:rFonts w:ascii="Garamond" w:hAnsi="Garamond"/>
          <w:sz w:val="26"/>
          <w:szCs w:val="26"/>
        </w:rPr>
        <w:t xml:space="preserve"> </w:t>
      </w:r>
      <w:proofErr w:type="spellStart"/>
      <w:r w:rsidR="001943F1" w:rsidRPr="00ED6D01">
        <w:rPr>
          <w:rFonts w:ascii="Garamond" w:hAnsi="Garamond"/>
          <w:sz w:val="26"/>
          <w:szCs w:val="26"/>
        </w:rPr>
        <w:t>percent</w:t>
      </w:r>
      <w:proofErr w:type="spellEnd"/>
      <w:r w:rsidR="001943F1" w:rsidRPr="00ED6D01">
        <w:rPr>
          <w:rFonts w:ascii="Garamond" w:hAnsi="Garamond"/>
          <w:sz w:val="26"/>
          <w:szCs w:val="26"/>
        </w:rPr>
        <w:t xml:space="preserve"> of the </w:t>
      </w:r>
      <w:r w:rsidR="00ED6D01" w:rsidRPr="00ED6D01">
        <w:rPr>
          <w:rFonts w:ascii="Garamond" w:hAnsi="Garamond"/>
          <w:sz w:val="26"/>
          <w:szCs w:val="26"/>
        </w:rPr>
        <w:t xml:space="preserve">State’s </w:t>
      </w:r>
      <w:r w:rsidR="000A1C27" w:rsidRPr="00ED6D01">
        <w:rPr>
          <w:rFonts w:ascii="Garamond" w:hAnsi="Garamond"/>
          <w:sz w:val="26"/>
          <w:szCs w:val="26"/>
        </w:rPr>
        <w:t xml:space="preserve">recurrent </w:t>
      </w:r>
      <w:r w:rsidR="001943F1" w:rsidRPr="00ED6D01">
        <w:rPr>
          <w:rFonts w:ascii="Garamond" w:hAnsi="Garamond"/>
          <w:sz w:val="26"/>
          <w:szCs w:val="26"/>
        </w:rPr>
        <w:t xml:space="preserve">revenue </w:t>
      </w:r>
      <w:r>
        <w:rPr>
          <w:rFonts w:ascii="Garamond" w:hAnsi="Garamond"/>
          <w:sz w:val="26"/>
          <w:szCs w:val="26"/>
        </w:rPr>
        <w:t>was</w:t>
      </w:r>
      <w:r w:rsidR="001943F1" w:rsidRPr="00ED6D01">
        <w:rPr>
          <w:rFonts w:ascii="Garamond" w:hAnsi="Garamond"/>
          <w:sz w:val="26"/>
          <w:szCs w:val="26"/>
        </w:rPr>
        <w:t xml:space="preserve"> </w:t>
      </w:r>
      <w:r w:rsidR="00ED6D01">
        <w:rPr>
          <w:rFonts w:ascii="Garamond" w:hAnsi="Garamond"/>
          <w:sz w:val="26"/>
          <w:szCs w:val="26"/>
        </w:rPr>
        <w:t>sourced</w:t>
      </w:r>
      <w:r w:rsidR="00347917" w:rsidRPr="00ED6D01">
        <w:rPr>
          <w:rFonts w:ascii="Garamond" w:hAnsi="Garamond"/>
          <w:sz w:val="26"/>
          <w:szCs w:val="26"/>
        </w:rPr>
        <w:t xml:space="preserve"> from federation </w:t>
      </w:r>
      <w:r>
        <w:rPr>
          <w:rFonts w:ascii="Garamond" w:hAnsi="Garamond"/>
          <w:sz w:val="26"/>
          <w:szCs w:val="26"/>
        </w:rPr>
        <w:t>revenues</w:t>
      </w:r>
      <w:r w:rsidR="001943F1" w:rsidRPr="00ED6D01">
        <w:rPr>
          <w:rFonts w:ascii="Garamond" w:hAnsi="Garamond"/>
          <w:sz w:val="26"/>
          <w:szCs w:val="26"/>
        </w:rPr>
        <w:t xml:space="preserve">. </w:t>
      </w:r>
      <w:r w:rsidR="00C067EF">
        <w:rPr>
          <w:rFonts w:ascii="Garamond" w:hAnsi="Garamond"/>
          <w:sz w:val="26"/>
          <w:szCs w:val="26"/>
        </w:rPr>
        <w:t>Although t</w:t>
      </w:r>
      <w:r w:rsidR="00ED6D01">
        <w:rPr>
          <w:rFonts w:ascii="Garamond" w:hAnsi="Garamond"/>
          <w:sz w:val="26"/>
          <w:szCs w:val="26"/>
        </w:rPr>
        <w:t xml:space="preserve">he State’s </w:t>
      </w:r>
      <w:r w:rsidR="00C067EF">
        <w:rPr>
          <w:rFonts w:ascii="Garamond" w:hAnsi="Garamond"/>
          <w:sz w:val="26"/>
          <w:szCs w:val="26"/>
        </w:rPr>
        <w:t xml:space="preserve">monthly revenue is over N1 billion, the </w:t>
      </w:r>
      <w:r w:rsidR="00ED6D01">
        <w:rPr>
          <w:rFonts w:ascii="Garamond" w:hAnsi="Garamond"/>
          <w:sz w:val="26"/>
          <w:szCs w:val="26"/>
        </w:rPr>
        <w:t>poor</w:t>
      </w:r>
      <w:r w:rsidR="00C067EF">
        <w:rPr>
          <w:rFonts w:ascii="Garamond" w:hAnsi="Garamond"/>
          <w:sz w:val="26"/>
          <w:szCs w:val="26"/>
        </w:rPr>
        <w:t xml:space="preserve"> </w:t>
      </w:r>
      <w:r w:rsidR="00ED6D01">
        <w:rPr>
          <w:rFonts w:ascii="Garamond" w:hAnsi="Garamond"/>
          <w:sz w:val="26"/>
          <w:szCs w:val="26"/>
        </w:rPr>
        <w:t xml:space="preserve">growth </w:t>
      </w:r>
      <w:r w:rsidR="00C067EF">
        <w:rPr>
          <w:rFonts w:ascii="Garamond" w:hAnsi="Garamond"/>
          <w:sz w:val="26"/>
          <w:szCs w:val="26"/>
        </w:rPr>
        <w:t xml:space="preserve">in IGR </w:t>
      </w:r>
      <w:r w:rsidR="00ED6D01">
        <w:rPr>
          <w:rFonts w:ascii="Garamond" w:hAnsi="Garamond"/>
          <w:sz w:val="26"/>
          <w:szCs w:val="26"/>
        </w:rPr>
        <w:t xml:space="preserve">has hampered </w:t>
      </w:r>
      <w:r w:rsidR="00C067EF">
        <w:rPr>
          <w:rFonts w:ascii="Garamond" w:hAnsi="Garamond"/>
          <w:sz w:val="26"/>
          <w:szCs w:val="26"/>
        </w:rPr>
        <w:t>its capacity for fiscal sustainability.</w:t>
      </w:r>
    </w:p>
    <w:p w:rsidR="00ED6D01" w:rsidRPr="00ED6D01" w:rsidRDefault="00ED6D01" w:rsidP="00ED6D01">
      <w:pPr>
        <w:jc w:val="center"/>
        <w:rPr>
          <w:rFonts w:ascii="Garamond" w:hAnsi="Garamond"/>
          <w:b/>
          <w:sz w:val="26"/>
          <w:szCs w:val="26"/>
        </w:rPr>
      </w:pPr>
      <w:r w:rsidRPr="00ED6D01">
        <w:rPr>
          <w:rFonts w:ascii="Garamond" w:hAnsi="Garamond"/>
          <w:b/>
          <w:sz w:val="26"/>
          <w:szCs w:val="26"/>
        </w:rPr>
        <w:t>IGR SNAPSHOT IN THE NORTH WEST ZONE (2014)</w:t>
      </w:r>
    </w:p>
    <w:tbl>
      <w:tblPr>
        <w:tblW w:w="9496" w:type="dxa"/>
        <w:jc w:val="center"/>
        <w:tblInd w:w="93" w:type="dxa"/>
        <w:tblLook w:val="04A0" w:firstRow="1" w:lastRow="0" w:firstColumn="1" w:lastColumn="0" w:noHBand="0" w:noVBand="1"/>
      </w:tblPr>
      <w:tblGrid>
        <w:gridCol w:w="636"/>
        <w:gridCol w:w="1347"/>
        <w:gridCol w:w="1776"/>
        <w:gridCol w:w="1889"/>
        <w:gridCol w:w="1281"/>
        <w:gridCol w:w="2177"/>
        <w:gridCol w:w="1266"/>
      </w:tblGrid>
      <w:tr w:rsidR="00ED6D01" w:rsidRPr="00B2011F" w:rsidTr="00B10CFD">
        <w:trPr>
          <w:trHeight w:val="900"/>
          <w:jc w:val="center"/>
        </w:trPr>
        <w:tc>
          <w:tcPr>
            <w:tcW w:w="572" w:type="dxa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ED6D01" w:rsidRPr="00B2011F" w:rsidRDefault="00ED6D01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S/N</w:t>
            </w:r>
          </w:p>
        </w:tc>
        <w:tc>
          <w:tcPr>
            <w:tcW w:w="131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ED6D01" w:rsidRPr="00B2011F" w:rsidRDefault="00ED6D01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STATE</w:t>
            </w:r>
          </w:p>
        </w:tc>
        <w:tc>
          <w:tcPr>
            <w:tcW w:w="1718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ED6D01" w:rsidRPr="00B2011F" w:rsidRDefault="00ED6D01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MONTHLY IGR (N)</w:t>
            </w:r>
          </w:p>
        </w:tc>
        <w:tc>
          <w:tcPr>
            <w:tcW w:w="171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ED6D01" w:rsidRPr="00B2011F" w:rsidRDefault="00ED6D01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ANNUAL IGR (N)</w:t>
            </w:r>
          </w:p>
        </w:tc>
        <w:tc>
          <w:tcPr>
            <w:tcW w:w="1120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ED6D01" w:rsidRPr="00B2011F" w:rsidRDefault="00ED6D01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5 YR GROWTH RATE</w:t>
            </w:r>
          </w:p>
        </w:tc>
        <w:tc>
          <w:tcPr>
            <w:tcW w:w="1785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ED6D01" w:rsidRPr="00B2011F" w:rsidRDefault="00ED6D01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IGR/RECURRENT REVENUE (%)</w:t>
            </w:r>
          </w:p>
        </w:tc>
        <w:tc>
          <w:tcPr>
            <w:tcW w:w="126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ED6D01" w:rsidRPr="00B2011F" w:rsidRDefault="00ED6D01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IGR PER CAPITA (N)</w:t>
            </w:r>
          </w:p>
        </w:tc>
      </w:tr>
      <w:tr w:rsidR="00ED6D01" w:rsidRPr="00B2011F" w:rsidTr="00B10C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KANO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1,138,487,827.99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13,661,853,935.85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19.9%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14.1%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    1,120.78 </w:t>
            </w:r>
          </w:p>
        </w:tc>
      </w:tr>
      <w:tr w:rsidR="00ED6D01" w:rsidRPr="00ED6D01" w:rsidTr="00B10C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ED6D01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ED6D01"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ED6D01" w:rsidRDefault="00ED6D01" w:rsidP="00B10CFD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ED6D01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KADUNA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ED6D01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ED6D01"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  <w:t xml:space="preserve">1,065,210,209.54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ED6D01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ED6D01"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  <w:t xml:space="preserve">12,782,522,514.51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ED6D01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ED6D01"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  <w:t>2.5%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ED6D01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ED6D01"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  <w:t>15.9%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ED6D01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ED6D01"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  <w:t xml:space="preserve">    1,650.55 </w:t>
            </w:r>
          </w:p>
        </w:tc>
      </w:tr>
      <w:tr w:rsidR="00ED6D01" w:rsidRPr="00ED6D01" w:rsidTr="00B10C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ED6D01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val="en-US"/>
              </w:rPr>
            </w:pPr>
            <w:r w:rsidRPr="00ED6D01">
              <w:rPr>
                <w:rFonts w:ascii="Garamond" w:eastAsia="Times New Roman" w:hAnsi="Garamond"/>
                <w:sz w:val="24"/>
                <w:szCs w:val="24"/>
                <w:lang w:val="en-US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ED6D01" w:rsidRDefault="00ED6D01" w:rsidP="00B10CFD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val="en-US"/>
              </w:rPr>
            </w:pPr>
            <w:r w:rsidRPr="00ED6D01">
              <w:rPr>
                <w:rFonts w:ascii="Garamond" w:eastAsia="Times New Roman" w:hAnsi="Garamond"/>
                <w:sz w:val="24"/>
                <w:szCs w:val="24"/>
              </w:rPr>
              <w:t xml:space="preserve"> JIGAWA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ED6D01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val="en-US"/>
              </w:rPr>
            </w:pPr>
            <w:r w:rsidRPr="00ED6D01">
              <w:rPr>
                <w:rFonts w:ascii="Garamond" w:eastAsia="Times New Roman" w:hAnsi="Garamond"/>
                <w:sz w:val="24"/>
                <w:szCs w:val="24"/>
                <w:lang w:val="en-US"/>
              </w:rPr>
              <w:t xml:space="preserve">522,775,884.70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ED6D01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val="en-US"/>
              </w:rPr>
            </w:pPr>
            <w:r w:rsidRPr="00ED6D01">
              <w:rPr>
                <w:rFonts w:ascii="Garamond" w:eastAsia="Times New Roman" w:hAnsi="Garamond"/>
                <w:sz w:val="24"/>
                <w:szCs w:val="24"/>
                <w:lang w:val="en-US"/>
              </w:rPr>
              <w:t xml:space="preserve">6,273,310,616.35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ED6D01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val="en-US"/>
              </w:rPr>
            </w:pPr>
            <w:r w:rsidRPr="00ED6D01">
              <w:rPr>
                <w:rFonts w:ascii="Garamond" w:eastAsia="Times New Roman" w:hAnsi="Garamond"/>
                <w:sz w:val="24"/>
                <w:szCs w:val="24"/>
                <w:lang w:val="en-US"/>
              </w:rPr>
              <w:t>49.9%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ED6D01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val="en-US"/>
              </w:rPr>
            </w:pPr>
            <w:r w:rsidRPr="00ED6D01">
              <w:rPr>
                <w:rFonts w:ascii="Garamond" w:eastAsia="Times New Roman" w:hAnsi="Garamond"/>
                <w:sz w:val="24"/>
                <w:szCs w:val="24"/>
                <w:lang w:val="en-US"/>
              </w:rPr>
              <w:t>9.8%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ED6D01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val="en-US"/>
              </w:rPr>
            </w:pPr>
            <w:r w:rsidRPr="00ED6D01">
              <w:rPr>
                <w:rFonts w:ascii="Garamond" w:eastAsia="Times New Roman" w:hAnsi="Garamond"/>
                <w:sz w:val="24"/>
                <w:szCs w:val="24"/>
                <w:lang w:val="en-US"/>
              </w:rPr>
              <w:t xml:space="preserve">    1,144.42 </w:t>
            </w:r>
          </w:p>
        </w:tc>
      </w:tr>
      <w:tr w:rsidR="00ED6D01" w:rsidRPr="00B2011F" w:rsidTr="00B10C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KATSINA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518,586,466.58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6,223,037,599.00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18.5%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8.9%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846.76 </w:t>
            </w:r>
          </w:p>
        </w:tc>
      </w:tr>
      <w:tr w:rsidR="00ED6D01" w:rsidRPr="00B2011F" w:rsidTr="00B10C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SOKOTO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468,146,938.36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5,617,763,260.35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9.6%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9.0%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    1,197.71 </w:t>
            </w:r>
          </w:p>
        </w:tc>
      </w:tr>
      <w:tr w:rsidR="00ED6D01" w:rsidRPr="00B2011F" w:rsidTr="00B10C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KEBBI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319,511,970.16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3,834,143,641.95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0.2%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6.6%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922.24 </w:t>
            </w:r>
          </w:p>
        </w:tc>
      </w:tr>
      <w:tr w:rsidR="00ED6D01" w:rsidRPr="00B2011F" w:rsidTr="00B10C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</w:rPr>
              <w:t>ZAMFARA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262,469,212.83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3,149,630,553.96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11.1%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5.8%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6D01" w:rsidRPr="00B2011F" w:rsidRDefault="00ED6D01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746.62 </w:t>
            </w:r>
          </w:p>
        </w:tc>
      </w:tr>
    </w:tbl>
    <w:p w:rsidR="00ED6D01" w:rsidRPr="00C067EF" w:rsidRDefault="00ED6D01" w:rsidP="00ED6D01">
      <w:pPr>
        <w:spacing w:line="360" w:lineRule="auto"/>
        <w:jc w:val="both"/>
        <w:rPr>
          <w:rFonts w:ascii="Garamond" w:hAnsi="Garamond"/>
          <w:sz w:val="10"/>
          <w:szCs w:val="26"/>
        </w:rPr>
      </w:pPr>
    </w:p>
    <w:p w:rsidR="0069372C" w:rsidRPr="00ED6D01" w:rsidRDefault="000A1C27" w:rsidP="00C067EF">
      <w:pPr>
        <w:jc w:val="both"/>
        <w:rPr>
          <w:rFonts w:ascii="Garamond" w:hAnsi="Garamond"/>
          <w:b/>
          <w:sz w:val="26"/>
          <w:szCs w:val="26"/>
        </w:rPr>
      </w:pPr>
      <w:r w:rsidRPr="00ED6D01">
        <w:rPr>
          <w:rFonts w:ascii="Garamond" w:hAnsi="Garamond"/>
          <w:b/>
          <w:sz w:val="26"/>
          <w:szCs w:val="26"/>
        </w:rPr>
        <w:t>Commendable Practices:</w:t>
      </w:r>
    </w:p>
    <w:p w:rsidR="00ED532E" w:rsidRPr="00ED6D01" w:rsidRDefault="00ED532E" w:rsidP="00C067EF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r w:rsidRPr="00ED6D01">
        <w:rPr>
          <w:rFonts w:ascii="Garamond" w:hAnsi="Garamond"/>
          <w:sz w:val="26"/>
          <w:szCs w:val="26"/>
        </w:rPr>
        <w:t>Sufficient number of district offices to reach out to taxpayers.</w:t>
      </w:r>
    </w:p>
    <w:p w:rsidR="00ED532E" w:rsidRPr="00ED6D01" w:rsidRDefault="004C5ADC" w:rsidP="00C067EF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r w:rsidRPr="00ED6D01">
        <w:rPr>
          <w:rFonts w:ascii="Garamond" w:hAnsi="Garamond"/>
          <w:sz w:val="26"/>
          <w:szCs w:val="26"/>
        </w:rPr>
        <w:t>Enforcement measures exist i</w:t>
      </w:r>
      <w:r w:rsidR="001A792B" w:rsidRPr="00ED6D01">
        <w:rPr>
          <w:rFonts w:ascii="Garamond" w:hAnsi="Garamond"/>
          <w:sz w:val="26"/>
          <w:szCs w:val="26"/>
        </w:rPr>
        <w:t>t’</w:t>
      </w:r>
      <w:r w:rsidRPr="00ED6D01">
        <w:rPr>
          <w:rFonts w:ascii="Garamond" w:hAnsi="Garamond"/>
          <w:sz w:val="26"/>
          <w:szCs w:val="26"/>
        </w:rPr>
        <w:t xml:space="preserve">s </w:t>
      </w:r>
      <w:r w:rsidR="00347917" w:rsidRPr="00ED6D01">
        <w:rPr>
          <w:rFonts w:ascii="Garamond" w:hAnsi="Garamond"/>
          <w:sz w:val="26"/>
          <w:szCs w:val="26"/>
        </w:rPr>
        <w:t>carried out</w:t>
      </w:r>
      <w:r w:rsidRPr="00ED6D01">
        <w:rPr>
          <w:rFonts w:ascii="Garamond" w:hAnsi="Garamond"/>
          <w:sz w:val="26"/>
          <w:szCs w:val="26"/>
        </w:rPr>
        <w:t xml:space="preserve"> by a </w:t>
      </w:r>
      <w:r w:rsidR="00347917" w:rsidRPr="00ED6D01">
        <w:rPr>
          <w:rFonts w:ascii="Garamond" w:hAnsi="Garamond"/>
          <w:sz w:val="26"/>
          <w:szCs w:val="26"/>
        </w:rPr>
        <w:t>specific</w:t>
      </w:r>
      <w:r w:rsidRPr="00ED6D01">
        <w:rPr>
          <w:rFonts w:ascii="Garamond" w:hAnsi="Garamond"/>
          <w:sz w:val="26"/>
          <w:szCs w:val="26"/>
        </w:rPr>
        <w:t xml:space="preserve"> unit</w:t>
      </w:r>
    </w:p>
    <w:p w:rsidR="0069372C" w:rsidRPr="00ED6D01" w:rsidRDefault="0063634D" w:rsidP="00C067EF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r w:rsidRPr="00ED6D01">
        <w:rPr>
          <w:rFonts w:ascii="Garamond" w:hAnsi="Garamond"/>
          <w:sz w:val="26"/>
          <w:szCs w:val="26"/>
        </w:rPr>
        <w:t xml:space="preserve">Tax procedures and tax forms for </w:t>
      </w:r>
      <w:r w:rsidR="009835AB" w:rsidRPr="00ED6D01">
        <w:rPr>
          <w:rFonts w:ascii="Garamond" w:hAnsi="Garamond"/>
          <w:sz w:val="26"/>
          <w:szCs w:val="26"/>
        </w:rPr>
        <w:t>taxpayers to file and pay taxes</w:t>
      </w:r>
      <w:r w:rsidR="00347917" w:rsidRPr="00ED6D01">
        <w:rPr>
          <w:rFonts w:ascii="Garamond" w:hAnsi="Garamond"/>
          <w:sz w:val="26"/>
          <w:szCs w:val="26"/>
        </w:rPr>
        <w:t xml:space="preserve"> are s</w:t>
      </w:r>
      <w:r w:rsidRPr="00ED6D01">
        <w:rPr>
          <w:rFonts w:ascii="Garamond" w:hAnsi="Garamond"/>
          <w:sz w:val="26"/>
          <w:szCs w:val="26"/>
        </w:rPr>
        <w:t xml:space="preserve">treamlined </w:t>
      </w:r>
      <w:r w:rsidR="00347917" w:rsidRPr="00ED6D01">
        <w:rPr>
          <w:rFonts w:ascii="Garamond" w:hAnsi="Garamond"/>
          <w:sz w:val="26"/>
          <w:szCs w:val="26"/>
        </w:rPr>
        <w:t>with the use of</w:t>
      </w:r>
      <w:r w:rsidRPr="00ED6D01">
        <w:rPr>
          <w:rFonts w:ascii="Garamond" w:hAnsi="Garamond"/>
          <w:sz w:val="26"/>
          <w:szCs w:val="26"/>
        </w:rPr>
        <w:t xml:space="preserve"> simplified tax forms</w:t>
      </w:r>
    </w:p>
    <w:p w:rsidR="0063634D" w:rsidRPr="00ED6D01" w:rsidRDefault="001A792B" w:rsidP="00C067EF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r w:rsidRPr="00ED6D01">
        <w:rPr>
          <w:rFonts w:ascii="Garamond" w:hAnsi="Garamond"/>
          <w:sz w:val="26"/>
          <w:szCs w:val="26"/>
        </w:rPr>
        <w:t>T</w:t>
      </w:r>
      <w:r w:rsidR="0063634D" w:rsidRPr="00ED6D01">
        <w:rPr>
          <w:rFonts w:ascii="Garamond" w:hAnsi="Garamond"/>
          <w:sz w:val="26"/>
          <w:szCs w:val="26"/>
        </w:rPr>
        <w:t>ax payment</w:t>
      </w:r>
      <w:r w:rsidRPr="00ED6D01">
        <w:rPr>
          <w:rFonts w:ascii="Garamond" w:hAnsi="Garamond"/>
          <w:sz w:val="26"/>
          <w:szCs w:val="26"/>
        </w:rPr>
        <w:t>s are</w:t>
      </w:r>
      <w:r w:rsidR="0063634D" w:rsidRPr="00ED6D01">
        <w:rPr>
          <w:rFonts w:ascii="Garamond" w:hAnsi="Garamond"/>
          <w:sz w:val="26"/>
          <w:szCs w:val="26"/>
        </w:rPr>
        <w:t xml:space="preserve"> done at commercial banks and</w:t>
      </w:r>
      <w:r w:rsidR="00347917" w:rsidRPr="00ED6D01">
        <w:rPr>
          <w:rFonts w:ascii="Garamond" w:hAnsi="Garamond"/>
          <w:sz w:val="26"/>
          <w:szCs w:val="26"/>
        </w:rPr>
        <w:t xml:space="preserve"> through e</w:t>
      </w:r>
      <w:r w:rsidR="0063634D" w:rsidRPr="00ED6D01">
        <w:rPr>
          <w:rFonts w:ascii="Garamond" w:hAnsi="Garamond"/>
          <w:sz w:val="26"/>
          <w:szCs w:val="26"/>
        </w:rPr>
        <w:t>-payment</w:t>
      </w:r>
      <w:r w:rsidRPr="00ED6D01">
        <w:rPr>
          <w:rFonts w:ascii="Garamond" w:hAnsi="Garamond"/>
          <w:sz w:val="26"/>
          <w:szCs w:val="26"/>
        </w:rPr>
        <w:t xml:space="preserve"> platforms</w:t>
      </w:r>
      <w:r w:rsidR="0063634D" w:rsidRPr="00ED6D01">
        <w:rPr>
          <w:rFonts w:ascii="Garamond" w:hAnsi="Garamond"/>
          <w:sz w:val="26"/>
          <w:szCs w:val="26"/>
        </w:rPr>
        <w:t>.</w:t>
      </w:r>
    </w:p>
    <w:p w:rsidR="00376FD1" w:rsidRPr="00ED6D01" w:rsidRDefault="00376FD1" w:rsidP="00C067EF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r w:rsidRPr="00ED6D01">
        <w:rPr>
          <w:rFonts w:ascii="Garamond" w:hAnsi="Garamond"/>
          <w:sz w:val="26"/>
          <w:szCs w:val="26"/>
        </w:rPr>
        <w:t>Leakages and corruption have been minimized because of systematic enforcement of sanctions and penalties</w:t>
      </w:r>
    </w:p>
    <w:p w:rsidR="0069372C" w:rsidRPr="00ED6D01" w:rsidRDefault="0069372C" w:rsidP="00C067EF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r w:rsidRPr="00ED6D01">
        <w:rPr>
          <w:rFonts w:ascii="Garamond" w:hAnsi="Garamond"/>
          <w:sz w:val="26"/>
          <w:szCs w:val="26"/>
        </w:rPr>
        <w:t>Double taxation a</w:t>
      </w:r>
      <w:r w:rsidR="001A792B" w:rsidRPr="00ED6D01">
        <w:rPr>
          <w:rFonts w:ascii="Garamond" w:hAnsi="Garamond"/>
          <w:sz w:val="26"/>
          <w:szCs w:val="26"/>
        </w:rPr>
        <w:t>t the state and local levels have been significantly minimised</w:t>
      </w:r>
      <w:r w:rsidRPr="00ED6D01">
        <w:rPr>
          <w:rFonts w:ascii="Garamond" w:hAnsi="Garamond"/>
          <w:sz w:val="26"/>
          <w:szCs w:val="26"/>
        </w:rPr>
        <w:t xml:space="preserve">, and </w:t>
      </w:r>
      <w:r w:rsidR="001A792B" w:rsidRPr="00ED6D01">
        <w:rPr>
          <w:rFonts w:ascii="Garamond" w:hAnsi="Garamond"/>
          <w:sz w:val="26"/>
          <w:szCs w:val="26"/>
        </w:rPr>
        <w:t>there’s</w:t>
      </w:r>
      <w:r w:rsidRPr="00ED6D01">
        <w:rPr>
          <w:rFonts w:ascii="Garamond" w:hAnsi="Garamond"/>
          <w:sz w:val="26"/>
          <w:szCs w:val="26"/>
        </w:rPr>
        <w:t xml:space="preserve"> no </w:t>
      </w:r>
      <w:r w:rsidR="001A792B" w:rsidRPr="00ED6D01">
        <w:rPr>
          <w:rFonts w:ascii="Garamond" w:hAnsi="Garamond"/>
          <w:sz w:val="26"/>
          <w:szCs w:val="26"/>
        </w:rPr>
        <w:t xml:space="preserve">usurpation </w:t>
      </w:r>
      <w:r w:rsidRPr="00ED6D01">
        <w:rPr>
          <w:rFonts w:ascii="Garamond" w:hAnsi="Garamond"/>
          <w:sz w:val="26"/>
          <w:szCs w:val="26"/>
        </w:rPr>
        <w:t>of taxing authority of LGAs by</w:t>
      </w:r>
      <w:r w:rsidR="001A792B" w:rsidRPr="00ED6D01">
        <w:rPr>
          <w:rFonts w:ascii="Garamond" w:hAnsi="Garamond"/>
          <w:sz w:val="26"/>
          <w:szCs w:val="26"/>
        </w:rPr>
        <w:t xml:space="preserve"> the state government</w:t>
      </w:r>
      <w:r w:rsidR="008A3798" w:rsidRPr="00ED6D01">
        <w:rPr>
          <w:rFonts w:ascii="Garamond" w:hAnsi="Garamond"/>
          <w:sz w:val="26"/>
          <w:szCs w:val="26"/>
        </w:rPr>
        <w:t>.</w:t>
      </w:r>
    </w:p>
    <w:p w:rsidR="001458C6" w:rsidRPr="00ED6D01" w:rsidRDefault="003D1F3E" w:rsidP="00C067EF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r w:rsidRPr="00ED6D01">
        <w:rPr>
          <w:rFonts w:ascii="Garamond" w:hAnsi="Garamond"/>
          <w:sz w:val="26"/>
          <w:szCs w:val="26"/>
        </w:rPr>
        <w:t>Kaduna</w:t>
      </w:r>
      <w:r w:rsidR="00376FD1" w:rsidRPr="00ED6D01">
        <w:rPr>
          <w:rFonts w:ascii="Garamond" w:hAnsi="Garamond"/>
          <w:sz w:val="26"/>
          <w:szCs w:val="26"/>
        </w:rPr>
        <w:t xml:space="preserve"> has</w:t>
      </w:r>
      <w:r w:rsidR="000A1C27" w:rsidRPr="00ED6D01">
        <w:rPr>
          <w:rFonts w:ascii="Garamond" w:hAnsi="Garamond"/>
          <w:sz w:val="26"/>
          <w:szCs w:val="26"/>
        </w:rPr>
        <w:t xml:space="preserve"> a</w:t>
      </w:r>
      <w:r w:rsidR="00376FD1" w:rsidRPr="00ED6D01">
        <w:rPr>
          <w:rFonts w:ascii="Garamond" w:hAnsi="Garamond"/>
          <w:sz w:val="26"/>
          <w:szCs w:val="26"/>
        </w:rPr>
        <w:t xml:space="preserve"> </w:t>
      </w:r>
      <w:r w:rsidR="000A1C27" w:rsidRPr="00ED6D01">
        <w:rPr>
          <w:rFonts w:ascii="Garamond" w:hAnsi="Garamond"/>
          <w:sz w:val="26"/>
          <w:szCs w:val="26"/>
        </w:rPr>
        <w:t>c</w:t>
      </w:r>
      <w:r w:rsidR="00347917" w:rsidRPr="00ED6D01">
        <w:rPr>
          <w:rFonts w:ascii="Garamond" w:hAnsi="Garamond"/>
          <w:sz w:val="26"/>
          <w:szCs w:val="26"/>
        </w:rPr>
        <w:t xml:space="preserve">lear government policy on </w:t>
      </w:r>
      <w:r w:rsidR="000A1C27" w:rsidRPr="00ED6D01">
        <w:rPr>
          <w:rFonts w:ascii="Garamond" w:hAnsi="Garamond"/>
          <w:sz w:val="26"/>
          <w:szCs w:val="26"/>
        </w:rPr>
        <w:t xml:space="preserve">utility </w:t>
      </w:r>
      <w:r w:rsidR="00347917" w:rsidRPr="00ED6D01">
        <w:rPr>
          <w:rFonts w:ascii="Garamond" w:hAnsi="Garamond"/>
          <w:sz w:val="26"/>
          <w:szCs w:val="26"/>
        </w:rPr>
        <w:t>user</w:t>
      </w:r>
      <w:r w:rsidR="00376FD1" w:rsidRPr="00ED6D01">
        <w:rPr>
          <w:rFonts w:ascii="Garamond" w:hAnsi="Garamond"/>
          <w:sz w:val="26"/>
          <w:szCs w:val="26"/>
        </w:rPr>
        <w:t xml:space="preserve"> fees.</w:t>
      </w:r>
    </w:p>
    <w:p w:rsidR="004936E5" w:rsidRDefault="004936E5" w:rsidP="00C067EF">
      <w:pPr>
        <w:jc w:val="both"/>
        <w:rPr>
          <w:rFonts w:ascii="Garamond" w:hAnsi="Garamond"/>
          <w:b/>
          <w:sz w:val="26"/>
          <w:szCs w:val="26"/>
        </w:rPr>
      </w:pPr>
    </w:p>
    <w:p w:rsidR="00B02643" w:rsidRPr="00ED6D01" w:rsidRDefault="001A792B" w:rsidP="00C067EF">
      <w:pPr>
        <w:jc w:val="both"/>
        <w:rPr>
          <w:rFonts w:ascii="Garamond" w:hAnsi="Garamond"/>
          <w:sz w:val="26"/>
          <w:szCs w:val="26"/>
        </w:rPr>
      </w:pPr>
      <w:r w:rsidRPr="00ED6D01">
        <w:rPr>
          <w:rFonts w:ascii="Garamond" w:hAnsi="Garamond"/>
          <w:b/>
          <w:sz w:val="26"/>
          <w:szCs w:val="26"/>
        </w:rPr>
        <w:lastRenderedPageBreak/>
        <w:t>Major</w:t>
      </w:r>
      <w:r w:rsidR="000A1C27" w:rsidRPr="00ED6D01">
        <w:rPr>
          <w:rFonts w:ascii="Garamond" w:hAnsi="Garamond"/>
          <w:b/>
          <w:sz w:val="26"/>
          <w:szCs w:val="26"/>
        </w:rPr>
        <w:t xml:space="preserve"> Challenges:</w:t>
      </w:r>
    </w:p>
    <w:p w:rsidR="00336A68" w:rsidRPr="00ED6D01" w:rsidRDefault="00D07477" w:rsidP="00C067EF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6"/>
          <w:szCs w:val="26"/>
        </w:rPr>
      </w:pPr>
      <w:r w:rsidRPr="00ED6D01">
        <w:rPr>
          <w:rFonts w:ascii="Garamond" w:hAnsi="Garamond"/>
          <w:sz w:val="26"/>
          <w:szCs w:val="26"/>
        </w:rPr>
        <w:t>Kaduna</w:t>
      </w:r>
      <w:r w:rsidR="00347917" w:rsidRPr="00ED6D01">
        <w:rPr>
          <w:rFonts w:ascii="Garamond" w:hAnsi="Garamond"/>
          <w:sz w:val="26"/>
          <w:szCs w:val="26"/>
        </w:rPr>
        <w:t xml:space="preserve"> state still has no property</w:t>
      </w:r>
      <w:r w:rsidR="000F02D3" w:rsidRPr="00ED6D01">
        <w:rPr>
          <w:rFonts w:ascii="Garamond" w:hAnsi="Garamond"/>
          <w:sz w:val="26"/>
          <w:szCs w:val="26"/>
        </w:rPr>
        <w:t xml:space="preserve"> and consumption</w:t>
      </w:r>
      <w:r w:rsidR="00336A68" w:rsidRPr="00ED6D01">
        <w:rPr>
          <w:rFonts w:ascii="Garamond" w:hAnsi="Garamond"/>
          <w:sz w:val="26"/>
          <w:szCs w:val="26"/>
        </w:rPr>
        <w:t xml:space="preserve"> tax</w:t>
      </w:r>
      <w:r w:rsidR="00880136" w:rsidRPr="00ED6D01">
        <w:rPr>
          <w:rFonts w:ascii="Garamond" w:hAnsi="Garamond"/>
          <w:sz w:val="26"/>
          <w:szCs w:val="26"/>
        </w:rPr>
        <w:t>.</w:t>
      </w:r>
    </w:p>
    <w:p w:rsidR="000F02D3" w:rsidRPr="00ED6D01" w:rsidRDefault="00336A68" w:rsidP="00C067EF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6"/>
          <w:szCs w:val="26"/>
        </w:rPr>
      </w:pPr>
      <w:r w:rsidRPr="00ED6D01">
        <w:rPr>
          <w:rFonts w:ascii="Garamond" w:hAnsi="Garamond"/>
          <w:sz w:val="26"/>
          <w:szCs w:val="26"/>
        </w:rPr>
        <w:t>I</w:t>
      </w:r>
      <w:r w:rsidR="001A792B" w:rsidRPr="00ED6D01">
        <w:rPr>
          <w:rFonts w:ascii="Garamond" w:hAnsi="Garamond"/>
          <w:sz w:val="26"/>
          <w:szCs w:val="26"/>
        </w:rPr>
        <w:t>t has n</w:t>
      </w:r>
      <w:r w:rsidR="000F02D3" w:rsidRPr="00ED6D01">
        <w:rPr>
          <w:rFonts w:ascii="Garamond" w:hAnsi="Garamond"/>
          <w:sz w:val="26"/>
          <w:szCs w:val="26"/>
        </w:rPr>
        <w:t xml:space="preserve">o </w:t>
      </w:r>
      <w:r w:rsidR="001A792B" w:rsidRPr="00ED6D01">
        <w:rPr>
          <w:rFonts w:ascii="Garamond" w:hAnsi="Garamond"/>
          <w:sz w:val="26"/>
          <w:szCs w:val="26"/>
        </w:rPr>
        <w:t>data</w:t>
      </w:r>
      <w:r w:rsidRPr="00ED6D01">
        <w:rPr>
          <w:rFonts w:ascii="Garamond" w:hAnsi="Garamond"/>
          <w:sz w:val="26"/>
          <w:szCs w:val="26"/>
        </w:rPr>
        <w:t>base</w:t>
      </w:r>
      <w:r w:rsidR="000F02D3" w:rsidRPr="00ED6D01">
        <w:rPr>
          <w:rFonts w:ascii="Garamond" w:hAnsi="Garamond"/>
          <w:sz w:val="26"/>
          <w:szCs w:val="26"/>
        </w:rPr>
        <w:t xml:space="preserve"> on</w:t>
      </w:r>
      <w:r w:rsidR="001A792B" w:rsidRPr="00ED6D01">
        <w:rPr>
          <w:rFonts w:ascii="Garamond" w:hAnsi="Garamond"/>
          <w:sz w:val="26"/>
          <w:szCs w:val="26"/>
        </w:rPr>
        <w:t xml:space="preserve"> the informal sector, and no </w:t>
      </w:r>
      <w:r w:rsidR="000F02D3" w:rsidRPr="00ED6D01">
        <w:rPr>
          <w:rFonts w:ascii="Garamond" w:hAnsi="Garamond"/>
          <w:sz w:val="26"/>
          <w:szCs w:val="26"/>
        </w:rPr>
        <w:t>comprehensive strategy.</w:t>
      </w:r>
    </w:p>
    <w:p w:rsidR="000F02D3" w:rsidRPr="00ED6D01" w:rsidRDefault="00336A68" w:rsidP="00C067EF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6"/>
          <w:szCs w:val="26"/>
        </w:rPr>
      </w:pPr>
      <w:r w:rsidRPr="00ED6D01">
        <w:rPr>
          <w:rFonts w:ascii="Garamond" w:hAnsi="Garamond"/>
          <w:sz w:val="26"/>
          <w:szCs w:val="26"/>
        </w:rPr>
        <w:t>Kaduna</w:t>
      </w:r>
      <w:r w:rsidR="001A792B" w:rsidRPr="00ED6D01">
        <w:rPr>
          <w:rFonts w:ascii="Garamond" w:hAnsi="Garamond"/>
          <w:sz w:val="26"/>
          <w:szCs w:val="26"/>
        </w:rPr>
        <w:t xml:space="preserve"> also lacks transportation</w:t>
      </w:r>
      <w:r w:rsidR="000C5530" w:rsidRPr="00ED6D01">
        <w:rPr>
          <w:rFonts w:ascii="Garamond" w:hAnsi="Garamond"/>
          <w:sz w:val="26"/>
          <w:szCs w:val="26"/>
        </w:rPr>
        <w:t xml:space="preserve"> </w:t>
      </w:r>
      <w:r w:rsidR="001A792B" w:rsidRPr="00ED6D01">
        <w:rPr>
          <w:rFonts w:ascii="Garamond" w:hAnsi="Garamond"/>
          <w:sz w:val="26"/>
          <w:szCs w:val="26"/>
        </w:rPr>
        <w:t>and sanitation</w:t>
      </w:r>
      <w:r w:rsidR="000C5530" w:rsidRPr="00ED6D01">
        <w:rPr>
          <w:rFonts w:ascii="Garamond" w:hAnsi="Garamond"/>
          <w:sz w:val="26"/>
          <w:szCs w:val="26"/>
        </w:rPr>
        <w:t xml:space="preserve"> </w:t>
      </w:r>
      <w:r w:rsidRPr="00ED6D01">
        <w:rPr>
          <w:rFonts w:ascii="Garamond" w:hAnsi="Garamond"/>
          <w:sz w:val="26"/>
          <w:szCs w:val="26"/>
        </w:rPr>
        <w:t>tax</w:t>
      </w:r>
      <w:r w:rsidR="001A792B" w:rsidRPr="00ED6D01">
        <w:rPr>
          <w:rFonts w:ascii="Garamond" w:hAnsi="Garamond"/>
          <w:sz w:val="26"/>
          <w:szCs w:val="26"/>
        </w:rPr>
        <w:t>es</w:t>
      </w:r>
      <w:r w:rsidRPr="00ED6D01">
        <w:rPr>
          <w:rFonts w:ascii="Garamond" w:hAnsi="Garamond"/>
          <w:sz w:val="26"/>
          <w:szCs w:val="26"/>
        </w:rPr>
        <w:t xml:space="preserve"> or</w:t>
      </w:r>
      <w:r w:rsidR="00CD1FEE" w:rsidRPr="00ED6D01">
        <w:rPr>
          <w:rFonts w:ascii="Garamond" w:hAnsi="Garamond"/>
          <w:sz w:val="26"/>
          <w:szCs w:val="26"/>
        </w:rPr>
        <w:t xml:space="preserve"> user charges.</w:t>
      </w:r>
    </w:p>
    <w:p w:rsidR="00336A68" w:rsidRPr="00ED6D01" w:rsidRDefault="00336A68" w:rsidP="00C067EF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6"/>
          <w:szCs w:val="26"/>
        </w:rPr>
      </w:pPr>
      <w:r w:rsidRPr="00ED6D01">
        <w:rPr>
          <w:rFonts w:ascii="Garamond" w:hAnsi="Garamond"/>
          <w:sz w:val="26"/>
          <w:szCs w:val="26"/>
        </w:rPr>
        <w:t>In terms of</w:t>
      </w:r>
      <w:r w:rsidR="00347917" w:rsidRPr="00ED6D01">
        <w:rPr>
          <w:rFonts w:ascii="Garamond" w:hAnsi="Garamond"/>
          <w:sz w:val="26"/>
          <w:szCs w:val="26"/>
        </w:rPr>
        <w:t xml:space="preserve"> the</w:t>
      </w:r>
      <w:r w:rsidRPr="00ED6D01">
        <w:rPr>
          <w:rFonts w:ascii="Garamond" w:hAnsi="Garamond"/>
          <w:sz w:val="26"/>
          <w:szCs w:val="26"/>
        </w:rPr>
        <w:t xml:space="preserve"> </w:t>
      </w:r>
      <w:r w:rsidR="00347917" w:rsidRPr="00ED6D01">
        <w:rPr>
          <w:rFonts w:ascii="Garamond" w:hAnsi="Garamond"/>
          <w:sz w:val="26"/>
          <w:szCs w:val="26"/>
        </w:rPr>
        <w:t xml:space="preserve">extent </w:t>
      </w:r>
      <w:r w:rsidRPr="00ED6D01">
        <w:rPr>
          <w:rFonts w:ascii="Garamond" w:hAnsi="Garamond"/>
          <w:sz w:val="26"/>
          <w:szCs w:val="26"/>
        </w:rPr>
        <w:t>of tax avoidance and evasion, there is some separation but no clear debt management policy or process</w:t>
      </w:r>
      <w:r w:rsidR="00880136" w:rsidRPr="00ED6D01">
        <w:rPr>
          <w:rFonts w:ascii="Garamond" w:hAnsi="Garamond"/>
          <w:sz w:val="26"/>
          <w:szCs w:val="26"/>
        </w:rPr>
        <w:t>.</w:t>
      </w:r>
    </w:p>
    <w:p w:rsidR="00CD1FEE" w:rsidRPr="00ED6D01" w:rsidRDefault="0075028F" w:rsidP="00C067EF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6"/>
          <w:szCs w:val="26"/>
        </w:rPr>
      </w:pPr>
      <w:r w:rsidRPr="00ED6D01">
        <w:rPr>
          <w:rFonts w:ascii="Garamond" w:hAnsi="Garamond"/>
          <w:sz w:val="26"/>
          <w:szCs w:val="26"/>
        </w:rPr>
        <w:t>Financial incentives for staff are</w:t>
      </w:r>
      <w:r w:rsidR="00CD1FEE" w:rsidRPr="00ED6D01">
        <w:rPr>
          <w:rFonts w:ascii="Garamond" w:hAnsi="Garamond"/>
          <w:sz w:val="26"/>
          <w:szCs w:val="26"/>
        </w:rPr>
        <w:t xml:space="preserve"> relatively low.</w:t>
      </w:r>
    </w:p>
    <w:p w:rsidR="00347917" w:rsidRPr="00ED6D01" w:rsidRDefault="0068094E" w:rsidP="00C067EF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6"/>
          <w:szCs w:val="26"/>
        </w:rPr>
      </w:pPr>
      <w:r w:rsidRPr="00ED6D01">
        <w:rPr>
          <w:rFonts w:ascii="Garamond" w:hAnsi="Garamond"/>
          <w:sz w:val="26"/>
          <w:szCs w:val="26"/>
        </w:rPr>
        <w:t xml:space="preserve">TIN </w:t>
      </w:r>
      <w:r w:rsidR="00347917" w:rsidRPr="00ED6D01">
        <w:rPr>
          <w:rFonts w:ascii="Garamond" w:hAnsi="Garamond"/>
          <w:sz w:val="26"/>
          <w:szCs w:val="26"/>
        </w:rPr>
        <w:t>has been</w:t>
      </w:r>
      <w:r w:rsidRPr="00ED6D01">
        <w:rPr>
          <w:rFonts w:ascii="Garamond" w:hAnsi="Garamond"/>
          <w:sz w:val="26"/>
          <w:szCs w:val="26"/>
        </w:rPr>
        <w:t xml:space="preserve"> introduced but</w:t>
      </w:r>
      <w:r w:rsidR="00347917" w:rsidRPr="00ED6D01">
        <w:rPr>
          <w:rFonts w:ascii="Garamond" w:hAnsi="Garamond"/>
          <w:sz w:val="26"/>
          <w:szCs w:val="26"/>
        </w:rPr>
        <w:t xml:space="preserve"> it’s</w:t>
      </w:r>
      <w:r w:rsidRPr="00ED6D01">
        <w:rPr>
          <w:rFonts w:ascii="Garamond" w:hAnsi="Garamond"/>
          <w:sz w:val="26"/>
          <w:szCs w:val="26"/>
        </w:rPr>
        <w:t xml:space="preserve"> not effective and unified. </w:t>
      </w:r>
    </w:p>
    <w:p w:rsidR="0068094E" w:rsidRPr="00ED6D01" w:rsidRDefault="0068094E" w:rsidP="00C067EF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6"/>
          <w:szCs w:val="26"/>
        </w:rPr>
      </w:pPr>
      <w:r w:rsidRPr="00ED6D01">
        <w:rPr>
          <w:rFonts w:ascii="Garamond" w:hAnsi="Garamond"/>
          <w:sz w:val="26"/>
          <w:szCs w:val="26"/>
        </w:rPr>
        <w:t xml:space="preserve">Fragmented taxpayer database, thus making </w:t>
      </w:r>
      <w:r w:rsidR="00347917" w:rsidRPr="00ED6D01">
        <w:rPr>
          <w:rFonts w:ascii="Garamond" w:hAnsi="Garamond"/>
          <w:sz w:val="26"/>
          <w:szCs w:val="26"/>
        </w:rPr>
        <w:t xml:space="preserve">it </w:t>
      </w:r>
      <w:r w:rsidRPr="00ED6D01">
        <w:rPr>
          <w:rFonts w:ascii="Garamond" w:hAnsi="Garamond"/>
          <w:sz w:val="26"/>
          <w:szCs w:val="26"/>
        </w:rPr>
        <w:t>difficult for planned tax collection.</w:t>
      </w:r>
    </w:p>
    <w:p w:rsidR="004374C8" w:rsidRPr="00ED6D01" w:rsidRDefault="0075028F" w:rsidP="00C067EF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6"/>
          <w:szCs w:val="26"/>
        </w:rPr>
      </w:pPr>
      <w:r w:rsidRPr="00ED6D01">
        <w:rPr>
          <w:rFonts w:ascii="Garamond" w:hAnsi="Garamond"/>
          <w:sz w:val="26"/>
          <w:szCs w:val="26"/>
        </w:rPr>
        <w:t>Mechanized tax processes but the system is not integrated</w:t>
      </w:r>
      <w:r w:rsidR="00880136" w:rsidRPr="00ED6D01">
        <w:rPr>
          <w:rFonts w:ascii="Garamond" w:hAnsi="Garamond"/>
          <w:sz w:val="26"/>
          <w:szCs w:val="26"/>
        </w:rPr>
        <w:t>.</w:t>
      </w:r>
    </w:p>
    <w:p w:rsidR="000C0848" w:rsidRPr="00C067EF" w:rsidRDefault="000C0848" w:rsidP="00C067EF">
      <w:pPr>
        <w:rPr>
          <w:rFonts w:ascii="Garamond" w:hAnsi="Garamond"/>
          <w:sz w:val="12"/>
          <w:szCs w:val="26"/>
        </w:rPr>
      </w:pPr>
    </w:p>
    <w:p w:rsidR="000C0848" w:rsidRPr="00ED6D01" w:rsidRDefault="00C067EF" w:rsidP="00C067EF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STATE’S ACTION PLAN</w:t>
      </w:r>
    </w:p>
    <w:tbl>
      <w:tblPr>
        <w:tblStyle w:val="TableGrid"/>
        <w:tblW w:w="11273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723"/>
        <w:gridCol w:w="1863"/>
        <w:gridCol w:w="5310"/>
        <w:gridCol w:w="1287"/>
        <w:gridCol w:w="2090"/>
      </w:tblGrid>
      <w:tr w:rsidR="003D1F3E" w:rsidRPr="00ED6D01" w:rsidTr="00C067EF">
        <w:trPr>
          <w:jc w:val="center"/>
        </w:trPr>
        <w:tc>
          <w:tcPr>
            <w:tcW w:w="723" w:type="dxa"/>
            <w:shd w:val="clear" w:color="auto" w:fill="F2F2F2" w:themeFill="background1" w:themeFillShade="F2"/>
          </w:tcPr>
          <w:p w:rsidR="000C0848" w:rsidRPr="00ED6D01" w:rsidRDefault="001A792B" w:rsidP="00C067EF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ED6D01">
              <w:rPr>
                <w:rFonts w:ascii="Garamond" w:hAnsi="Garamond"/>
                <w:b/>
                <w:sz w:val="26"/>
                <w:szCs w:val="26"/>
              </w:rPr>
              <w:t>S/N</w:t>
            </w:r>
          </w:p>
        </w:tc>
        <w:tc>
          <w:tcPr>
            <w:tcW w:w="1863" w:type="dxa"/>
            <w:shd w:val="clear" w:color="auto" w:fill="F2F2F2" w:themeFill="background1" w:themeFillShade="F2"/>
          </w:tcPr>
          <w:p w:rsidR="000C0848" w:rsidRPr="00ED6D01" w:rsidRDefault="001A792B" w:rsidP="00C067EF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ED6D01">
              <w:rPr>
                <w:rFonts w:ascii="Garamond" w:hAnsi="Garamond"/>
                <w:b/>
                <w:sz w:val="26"/>
                <w:szCs w:val="26"/>
              </w:rPr>
              <w:t>Identified goals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:rsidR="000C0848" w:rsidRPr="00ED6D01" w:rsidRDefault="001A792B" w:rsidP="00C067EF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ED6D01">
              <w:rPr>
                <w:rFonts w:ascii="Garamond" w:hAnsi="Garamond"/>
                <w:b/>
                <w:sz w:val="26"/>
                <w:szCs w:val="26"/>
              </w:rPr>
              <w:t xml:space="preserve">Actions </w:t>
            </w:r>
            <w:r w:rsidR="00C067EF" w:rsidRPr="00ED6D01">
              <w:rPr>
                <w:rFonts w:ascii="Garamond" w:hAnsi="Garamond"/>
                <w:b/>
                <w:sz w:val="26"/>
                <w:szCs w:val="26"/>
              </w:rPr>
              <w:t>Required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:rsidR="000C0848" w:rsidRPr="00ED6D01" w:rsidRDefault="001A792B" w:rsidP="00C067EF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ED6D01">
              <w:rPr>
                <w:rFonts w:ascii="Garamond" w:hAnsi="Garamond"/>
                <w:b/>
                <w:sz w:val="26"/>
                <w:szCs w:val="26"/>
              </w:rPr>
              <w:t>Timeline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0C0848" w:rsidRPr="00ED6D01" w:rsidRDefault="001A792B" w:rsidP="00C067EF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ED6D01">
              <w:rPr>
                <w:rFonts w:ascii="Garamond" w:hAnsi="Garamond"/>
                <w:b/>
                <w:sz w:val="26"/>
                <w:szCs w:val="26"/>
              </w:rPr>
              <w:t>Responsibility</w:t>
            </w:r>
          </w:p>
        </w:tc>
      </w:tr>
      <w:tr w:rsidR="003D1F3E" w:rsidRPr="00ED6D01" w:rsidTr="00C067EF">
        <w:trPr>
          <w:jc w:val="center"/>
        </w:trPr>
        <w:tc>
          <w:tcPr>
            <w:tcW w:w="723" w:type="dxa"/>
          </w:tcPr>
          <w:p w:rsidR="000C0848" w:rsidRPr="00ED6D01" w:rsidRDefault="000C0848" w:rsidP="00C067EF">
            <w:pPr>
              <w:pStyle w:val="ListParagraph"/>
              <w:spacing w:line="276" w:lineRule="auto"/>
              <w:ind w:left="0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1863" w:type="dxa"/>
          </w:tcPr>
          <w:p w:rsidR="000C0848" w:rsidRPr="00ED6D01" w:rsidRDefault="000C0848" w:rsidP="00C067EF">
            <w:pPr>
              <w:pStyle w:val="ListParagraph"/>
              <w:spacing w:line="276" w:lineRule="auto"/>
              <w:ind w:left="0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>To mobilize and improve the required revenue.</w:t>
            </w:r>
          </w:p>
        </w:tc>
        <w:tc>
          <w:tcPr>
            <w:tcW w:w="5310" w:type="dxa"/>
          </w:tcPr>
          <w:p w:rsidR="00347917" w:rsidRPr="00ED6D01" w:rsidRDefault="000C0848" w:rsidP="00C067E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>Implement KDBIR establishment</w:t>
            </w:r>
            <w:r w:rsidR="005215B6" w:rsidRPr="00ED6D01">
              <w:rPr>
                <w:rFonts w:ascii="Garamond" w:hAnsi="Garamond"/>
                <w:sz w:val="26"/>
                <w:szCs w:val="26"/>
              </w:rPr>
              <w:t xml:space="preserve"> law 2015</w:t>
            </w:r>
            <w:r w:rsidR="00807D5A" w:rsidRPr="00ED6D01">
              <w:rPr>
                <w:rFonts w:ascii="Garamond" w:hAnsi="Garamond"/>
                <w:sz w:val="26"/>
                <w:szCs w:val="26"/>
              </w:rPr>
              <w:t>.</w:t>
            </w:r>
          </w:p>
          <w:p w:rsidR="00807D5A" w:rsidRPr="00ED6D01" w:rsidRDefault="00807D5A" w:rsidP="00C067E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 xml:space="preserve">Grant the BIR supervisory role of other revenue generating agencies in the </w:t>
            </w:r>
            <w:r w:rsidR="001538CC" w:rsidRPr="00ED6D01">
              <w:rPr>
                <w:rFonts w:ascii="Garamond" w:hAnsi="Garamond"/>
                <w:sz w:val="26"/>
                <w:szCs w:val="26"/>
              </w:rPr>
              <w:t>State</w:t>
            </w:r>
            <w:r w:rsidRPr="00ED6D01">
              <w:rPr>
                <w:rFonts w:ascii="Garamond" w:hAnsi="Garamond"/>
                <w:sz w:val="26"/>
                <w:szCs w:val="26"/>
              </w:rPr>
              <w:t>.</w:t>
            </w:r>
          </w:p>
          <w:p w:rsidR="00807D5A" w:rsidRPr="00ED6D01" w:rsidRDefault="00807D5A" w:rsidP="00C067E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 xml:space="preserve">Centralize IGR collection in the </w:t>
            </w:r>
            <w:r w:rsidR="004936E5" w:rsidRPr="00ED6D01">
              <w:rPr>
                <w:rFonts w:ascii="Garamond" w:hAnsi="Garamond"/>
                <w:sz w:val="26"/>
                <w:szCs w:val="26"/>
              </w:rPr>
              <w:t>State</w:t>
            </w:r>
          </w:p>
          <w:p w:rsidR="00D60F75" w:rsidRPr="00ED6D01" w:rsidRDefault="00C067EF" w:rsidP="00C067E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</w:t>
            </w:r>
            <w:r w:rsidR="006869D1" w:rsidRPr="00ED6D01">
              <w:rPr>
                <w:rFonts w:ascii="Garamond" w:hAnsi="Garamond"/>
                <w:sz w:val="26"/>
                <w:szCs w:val="26"/>
              </w:rPr>
              <w:t>dopt a befitting remuneration package.</w:t>
            </w:r>
          </w:p>
          <w:p w:rsidR="006869D1" w:rsidRPr="00ED6D01" w:rsidRDefault="006869D1" w:rsidP="00C067E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>Recruit and build capacity of BIR staff</w:t>
            </w:r>
          </w:p>
          <w:p w:rsidR="006869D1" w:rsidRPr="00ED6D01" w:rsidRDefault="006869D1" w:rsidP="00C067E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>Invest in power</w:t>
            </w:r>
          </w:p>
          <w:p w:rsidR="006869D1" w:rsidRPr="00ED6D01" w:rsidRDefault="006869D1" w:rsidP="00C067E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>Sign an MOU with the LGAs on collection of property taxes.</w:t>
            </w:r>
          </w:p>
        </w:tc>
        <w:tc>
          <w:tcPr>
            <w:tcW w:w="1287" w:type="dxa"/>
          </w:tcPr>
          <w:p w:rsidR="000C0848" w:rsidRPr="00ED6D01" w:rsidRDefault="005215B6" w:rsidP="00C067EF">
            <w:pPr>
              <w:pStyle w:val="ListParagraph"/>
              <w:spacing w:line="276" w:lineRule="auto"/>
              <w:ind w:left="0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>March 2016</w:t>
            </w:r>
          </w:p>
        </w:tc>
        <w:tc>
          <w:tcPr>
            <w:tcW w:w="2090" w:type="dxa"/>
          </w:tcPr>
          <w:p w:rsidR="000C0848" w:rsidRPr="00ED6D01" w:rsidRDefault="005215B6" w:rsidP="00C067EF">
            <w:pPr>
              <w:pStyle w:val="ListParagraph"/>
              <w:spacing w:line="276" w:lineRule="auto"/>
              <w:ind w:left="0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 xml:space="preserve">Commissioner of </w:t>
            </w:r>
            <w:r w:rsidR="001538CC" w:rsidRPr="00ED6D01">
              <w:rPr>
                <w:rFonts w:ascii="Garamond" w:hAnsi="Garamond"/>
                <w:sz w:val="26"/>
                <w:szCs w:val="26"/>
              </w:rPr>
              <w:t xml:space="preserve">Finance </w:t>
            </w:r>
            <w:r w:rsidR="00962DD8" w:rsidRPr="00ED6D01">
              <w:rPr>
                <w:rFonts w:ascii="Garamond" w:hAnsi="Garamond"/>
                <w:sz w:val="26"/>
                <w:szCs w:val="26"/>
              </w:rPr>
              <w:t xml:space="preserve">assisted by </w:t>
            </w:r>
            <w:r w:rsidR="001538CC" w:rsidRPr="00ED6D01">
              <w:rPr>
                <w:rFonts w:ascii="Garamond" w:hAnsi="Garamond"/>
                <w:sz w:val="26"/>
                <w:szCs w:val="26"/>
              </w:rPr>
              <w:t xml:space="preserve">Executive Chairman, </w:t>
            </w:r>
            <w:r w:rsidR="00962DD8" w:rsidRPr="00ED6D01">
              <w:rPr>
                <w:rFonts w:ascii="Garamond" w:hAnsi="Garamond"/>
                <w:sz w:val="26"/>
                <w:szCs w:val="26"/>
              </w:rPr>
              <w:t>BIR</w:t>
            </w:r>
          </w:p>
        </w:tc>
      </w:tr>
      <w:tr w:rsidR="00962DD8" w:rsidRPr="00ED6D01" w:rsidTr="00C067EF">
        <w:trPr>
          <w:jc w:val="center"/>
        </w:trPr>
        <w:tc>
          <w:tcPr>
            <w:tcW w:w="723" w:type="dxa"/>
          </w:tcPr>
          <w:p w:rsidR="00962DD8" w:rsidRPr="00ED6D01" w:rsidRDefault="00962DD8" w:rsidP="00C067EF">
            <w:pPr>
              <w:pStyle w:val="ListParagraph"/>
              <w:spacing w:line="276" w:lineRule="auto"/>
              <w:ind w:left="0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1863" w:type="dxa"/>
          </w:tcPr>
          <w:p w:rsidR="00962DD8" w:rsidRPr="00ED6D01" w:rsidRDefault="00962DD8" w:rsidP="00C067EF">
            <w:pPr>
              <w:pStyle w:val="ListParagraph"/>
              <w:spacing w:line="276" w:lineRule="auto"/>
              <w:ind w:left="0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>Modernization of process and procedures</w:t>
            </w:r>
          </w:p>
        </w:tc>
        <w:tc>
          <w:tcPr>
            <w:tcW w:w="5310" w:type="dxa"/>
          </w:tcPr>
          <w:p w:rsidR="00962DD8" w:rsidRPr="00ED6D01" w:rsidRDefault="00962DD8" w:rsidP="00C067E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 xml:space="preserve">Computerization of </w:t>
            </w:r>
            <w:r w:rsidR="003D1F3E" w:rsidRPr="00ED6D01">
              <w:rPr>
                <w:rFonts w:ascii="Garamond" w:hAnsi="Garamond"/>
                <w:sz w:val="26"/>
                <w:szCs w:val="26"/>
              </w:rPr>
              <w:t>processes and infrastructure</w:t>
            </w:r>
          </w:p>
          <w:p w:rsidR="003D1F3E" w:rsidRPr="00ED6D01" w:rsidRDefault="003D1F3E" w:rsidP="00C067E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>Deployment of integrated tax administration system (ITAS)</w:t>
            </w:r>
          </w:p>
          <w:p w:rsidR="00A93FDD" w:rsidRPr="00ED6D01" w:rsidRDefault="003D1F3E" w:rsidP="00C067E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>Full implementation of JTB tax payer</w:t>
            </w:r>
            <w:r w:rsidR="00A93FDD" w:rsidRPr="00ED6D01">
              <w:rPr>
                <w:rFonts w:ascii="Garamond" w:hAnsi="Garamond"/>
                <w:sz w:val="26"/>
                <w:szCs w:val="26"/>
              </w:rPr>
              <w:t>s identification number, and</w:t>
            </w:r>
          </w:p>
          <w:p w:rsidR="003D1F3E" w:rsidRPr="00ED6D01" w:rsidRDefault="00C067EF" w:rsidP="00C067E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Creation of</w:t>
            </w:r>
            <w:r w:rsidR="00A93FDD" w:rsidRPr="00ED6D01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3D1F3E" w:rsidRPr="00ED6D01">
              <w:rPr>
                <w:rFonts w:ascii="Garamond" w:hAnsi="Garamond"/>
                <w:sz w:val="26"/>
                <w:szCs w:val="26"/>
              </w:rPr>
              <w:t>a robust database.</w:t>
            </w:r>
          </w:p>
        </w:tc>
        <w:tc>
          <w:tcPr>
            <w:tcW w:w="1287" w:type="dxa"/>
          </w:tcPr>
          <w:p w:rsidR="00962DD8" w:rsidRPr="00ED6D01" w:rsidRDefault="003D1F3E" w:rsidP="00C067EF">
            <w:pPr>
              <w:pStyle w:val="ListParagraph"/>
              <w:spacing w:line="276" w:lineRule="auto"/>
              <w:ind w:left="0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>June 2016</w:t>
            </w:r>
          </w:p>
        </w:tc>
        <w:tc>
          <w:tcPr>
            <w:tcW w:w="2090" w:type="dxa"/>
          </w:tcPr>
          <w:p w:rsidR="00962DD8" w:rsidRPr="00ED6D01" w:rsidRDefault="003D1F3E" w:rsidP="00C067EF">
            <w:pPr>
              <w:pStyle w:val="ListParagraph"/>
              <w:spacing w:line="276" w:lineRule="auto"/>
              <w:ind w:left="0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 xml:space="preserve">Commissioner of </w:t>
            </w:r>
            <w:r w:rsidR="001538CC" w:rsidRPr="00ED6D01">
              <w:rPr>
                <w:rFonts w:ascii="Garamond" w:hAnsi="Garamond"/>
                <w:sz w:val="26"/>
                <w:szCs w:val="26"/>
              </w:rPr>
              <w:t xml:space="preserve">Finance </w:t>
            </w:r>
            <w:r w:rsidRPr="00ED6D01">
              <w:rPr>
                <w:rFonts w:ascii="Garamond" w:hAnsi="Garamond"/>
                <w:sz w:val="26"/>
                <w:szCs w:val="26"/>
              </w:rPr>
              <w:t xml:space="preserve">assisted by </w:t>
            </w:r>
            <w:r w:rsidR="001538CC" w:rsidRPr="00ED6D01">
              <w:rPr>
                <w:rFonts w:ascii="Garamond" w:hAnsi="Garamond"/>
                <w:sz w:val="26"/>
                <w:szCs w:val="26"/>
              </w:rPr>
              <w:t xml:space="preserve">Executive Chairman Board </w:t>
            </w:r>
            <w:r w:rsidRPr="00ED6D01">
              <w:rPr>
                <w:rFonts w:ascii="Garamond" w:hAnsi="Garamond"/>
                <w:sz w:val="26"/>
                <w:szCs w:val="26"/>
              </w:rPr>
              <w:t xml:space="preserve">of </w:t>
            </w:r>
            <w:r w:rsidR="001538CC" w:rsidRPr="00ED6D01">
              <w:rPr>
                <w:rFonts w:ascii="Garamond" w:hAnsi="Garamond"/>
                <w:sz w:val="26"/>
                <w:szCs w:val="26"/>
              </w:rPr>
              <w:t>Internal Revenue.</w:t>
            </w:r>
          </w:p>
        </w:tc>
      </w:tr>
      <w:tr w:rsidR="003D1F3E" w:rsidRPr="00ED6D01" w:rsidTr="00C067EF">
        <w:trPr>
          <w:jc w:val="center"/>
        </w:trPr>
        <w:tc>
          <w:tcPr>
            <w:tcW w:w="723" w:type="dxa"/>
          </w:tcPr>
          <w:p w:rsidR="003D1F3E" w:rsidRPr="00ED6D01" w:rsidRDefault="003D1F3E" w:rsidP="00C067EF">
            <w:pPr>
              <w:pStyle w:val="ListParagraph"/>
              <w:spacing w:line="276" w:lineRule="auto"/>
              <w:ind w:left="0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1863" w:type="dxa"/>
          </w:tcPr>
          <w:p w:rsidR="003D1F3E" w:rsidRPr="00ED6D01" w:rsidRDefault="003D1F3E" w:rsidP="00C067EF">
            <w:pPr>
              <w:pStyle w:val="ListParagraph"/>
              <w:spacing w:line="276" w:lineRule="auto"/>
              <w:ind w:left="0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>To improve voluntary compliance</w:t>
            </w:r>
          </w:p>
        </w:tc>
        <w:tc>
          <w:tcPr>
            <w:tcW w:w="5310" w:type="dxa"/>
          </w:tcPr>
          <w:p w:rsidR="00952AB5" w:rsidRPr="00ED6D01" w:rsidRDefault="003D1F3E" w:rsidP="00C067E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>Massive tax payer enlightenment and sensitization campaign</w:t>
            </w:r>
          </w:p>
          <w:p w:rsidR="00952AB5" w:rsidRPr="00ED6D01" w:rsidRDefault="00952AB5" w:rsidP="00C067E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>Improve level of service delivery by all MDAs</w:t>
            </w:r>
          </w:p>
          <w:p w:rsidR="00952AB5" w:rsidRPr="00ED6D01" w:rsidRDefault="00952AB5" w:rsidP="00C067E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>Adoption of tax for service</w:t>
            </w:r>
          </w:p>
          <w:p w:rsidR="003D1F3E" w:rsidRPr="00ED6D01" w:rsidRDefault="00952AB5" w:rsidP="004936E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 xml:space="preserve">High level </w:t>
            </w:r>
            <w:r w:rsidR="004936E5">
              <w:rPr>
                <w:rFonts w:ascii="Garamond" w:hAnsi="Garamond"/>
                <w:sz w:val="26"/>
                <w:szCs w:val="26"/>
              </w:rPr>
              <w:t>stakeholder-</w:t>
            </w:r>
            <w:r w:rsidRPr="00ED6D01">
              <w:rPr>
                <w:rFonts w:ascii="Garamond" w:hAnsi="Garamond"/>
                <w:sz w:val="26"/>
                <w:szCs w:val="26"/>
              </w:rPr>
              <w:t xml:space="preserve">engagement </w:t>
            </w:r>
          </w:p>
        </w:tc>
        <w:tc>
          <w:tcPr>
            <w:tcW w:w="1287" w:type="dxa"/>
          </w:tcPr>
          <w:p w:rsidR="003D1F3E" w:rsidRPr="00ED6D01" w:rsidRDefault="00952AB5" w:rsidP="00C067EF">
            <w:pPr>
              <w:pStyle w:val="ListParagraph"/>
              <w:spacing w:line="276" w:lineRule="auto"/>
              <w:ind w:left="0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>January to December 2016</w:t>
            </w:r>
          </w:p>
        </w:tc>
        <w:tc>
          <w:tcPr>
            <w:tcW w:w="2090" w:type="dxa"/>
          </w:tcPr>
          <w:p w:rsidR="003D1F3E" w:rsidRPr="00ED6D01" w:rsidRDefault="00952AB5" w:rsidP="00C067EF">
            <w:pPr>
              <w:pStyle w:val="ListParagraph"/>
              <w:spacing w:line="276" w:lineRule="auto"/>
              <w:ind w:left="0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>Chairman BIR and chief executives of MDAs</w:t>
            </w:r>
          </w:p>
        </w:tc>
      </w:tr>
      <w:tr w:rsidR="00952AB5" w:rsidRPr="00ED6D01" w:rsidTr="00C067EF">
        <w:trPr>
          <w:jc w:val="center"/>
        </w:trPr>
        <w:tc>
          <w:tcPr>
            <w:tcW w:w="723" w:type="dxa"/>
          </w:tcPr>
          <w:p w:rsidR="00952AB5" w:rsidRPr="00ED6D01" w:rsidRDefault="00952AB5" w:rsidP="00C067EF">
            <w:pPr>
              <w:pStyle w:val="ListParagraph"/>
              <w:spacing w:line="276" w:lineRule="auto"/>
              <w:ind w:left="0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1863" w:type="dxa"/>
          </w:tcPr>
          <w:p w:rsidR="00952AB5" w:rsidRPr="00ED6D01" w:rsidRDefault="004936E5" w:rsidP="00C067EF">
            <w:pPr>
              <w:pStyle w:val="ListParagraph"/>
              <w:spacing w:line="276" w:lineRule="auto"/>
              <w:ind w:left="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</w:t>
            </w:r>
            <w:r w:rsidR="00952AB5" w:rsidRPr="00ED6D01">
              <w:rPr>
                <w:rFonts w:ascii="Garamond" w:hAnsi="Garamond"/>
                <w:sz w:val="26"/>
                <w:szCs w:val="26"/>
              </w:rPr>
              <w:t>reate a transparent collection system</w:t>
            </w:r>
          </w:p>
        </w:tc>
        <w:tc>
          <w:tcPr>
            <w:tcW w:w="5310" w:type="dxa"/>
          </w:tcPr>
          <w:p w:rsidR="00952AB5" w:rsidRPr="00ED6D01" w:rsidRDefault="00952AB5" w:rsidP="00C067E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 xml:space="preserve">Strengthen </w:t>
            </w:r>
            <w:proofErr w:type="spellStart"/>
            <w:r w:rsidRPr="00ED6D01">
              <w:rPr>
                <w:rFonts w:ascii="Garamond" w:hAnsi="Garamond"/>
                <w:sz w:val="26"/>
                <w:szCs w:val="26"/>
              </w:rPr>
              <w:t>paydirect</w:t>
            </w:r>
            <w:proofErr w:type="spellEnd"/>
            <w:r w:rsidRPr="00ED6D01">
              <w:rPr>
                <w:rFonts w:ascii="Garamond" w:hAnsi="Garamond"/>
                <w:sz w:val="26"/>
                <w:szCs w:val="26"/>
              </w:rPr>
              <w:t xml:space="preserve"> collection system and POS by all MDAs</w:t>
            </w:r>
          </w:p>
          <w:p w:rsidR="00952AB5" w:rsidRPr="00ED6D01" w:rsidRDefault="00952AB5" w:rsidP="00C067E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>Eliminate cash collection in the system.</w:t>
            </w:r>
          </w:p>
        </w:tc>
        <w:tc>
          <w:tcPr>
            <w:tcW w:w="1287" w:type="dxa"/>
          </w:tcPr>
          <w:p w:rsidR="00952AB5" w:rsidRPr="00ED6D01" w:rsidRDefault="00952AB5" w:rsidP="00C067EF">
            <w:pPr>
              <w:pStyle w:val="ListParagraph"/>
              <w:spacing w:line="276" w:lineRule="auto"/>
              <w:ind w:left="0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>January 2016</w:t>
            </w:r>
          </w:p>
        </w:tc>
        <w:tc>
          <w:tcPr>
            <w:tcW w:w="2090" w:type="dxa"/>
          </w:tcPr>
          <w:p w:rsidR="00952AB5" w:rsidRPr="00ED6D01" w:rsidRDefault="00952AB5" w:rsidP="00C067EF">
            <w:pPr>
              <w:pStyle w:val="ListParagraph"/>
              <w:spacing w:line="276" w:lineRule="auto"/>
              <w:ind w:left="0"/>
              <w:rPr>
                <w:rFonts w:ascii="Garamond" w:hAnsi="Garamond"/>
                <w:sz w:val="26"/>
                <w:szCs w:val="26"/>
              </w:rPr>
            </w:pPr>
            <w:r w:rsidRPr="00ED6D01">
              <w:rPr>
                <w:rFonts w:ascii="Garamond" w:hAnsi="Garamond"/>
                <w:sz w:val="26"/>
                <w:szCs w:val="26"/>
              </w:rPr>
              <w:t xml:space="preserve">Minister of </w:t>
            </w:r>
            <w:r w:rsidR="00A93FDD" w:rsidRPr="00ED6D01">
              <w:rPr>
                <w:rFonts w:ascii="Garamond" w:hAnsi="Garamond"/>
                <w:sz w:val="26"/>
                <w:szCs w:val="26"/>
              </w:rPr>
              <w:t>Finance</w:t>
            </w:r>
            <w:r w:rsidRPr="00ED6D01">
              <w:rPr>
                <w:rFonts w:ascii="Garamond" w:hAnsi="Garamond"/>
                <w:sz w:val="26"/>
                <w:szCs w:val="26"/>
              </w:rPr>
              <w:t xml:space="preserve">/ </w:t>
            </w:r>
            <w:r w:rsidR="00A93FDD" w:rsidRPr="00ED6D01">
              <w:rPr>
                <w:rFonts w:ascii="Garamond" w:hAnsi="Garamond"/>
                <w:sz w:val="26"/>
                <w:szCs w:val="26"/>
              </w:rPr>
              <w:t xml:space="preserve">Chairman </w:t>
            </w:r>
            <w:r w:rsidRPr="00ED6D01">
              <w:rPr>
                <w:rFonts w:ascii="Garamond" w:hAnsi="Garamond"/>
                <w:sz w:val="26"/>
                <w:szCs w:val="26"/>
              </w:rPr>
              <w:t>BIR</w:t>
            </w:r>
          </w:p>
        </w:tc>
      </w:tr>
    </w:tbl>
    <w:p w:rsidR="004374C8" w:rsidRPr="00ED6D01" w:rsidRDefault="004374C8" w:rsidP="00C067EF">
      <w:pPr>
        <w:jc w:val="both"/>
        <w:rPr>
          <w:rFonts w:ascii="Garamond" w:hAnsi="Garamond"/>
          <w:sz w:val="26"/>
          <w:szCs w:val="26"/>
        </w:rPr>
      </w:pPr>
    </w:p>
    <w:sectPr w:rsidR="004374C8" w:rsidRPr="00ED6D01" w:rsidSect="004936E5">
      <w:footerReference w:type="default" r:id="rId10"/>
      <w:pgSz w:w="11906" w:h="16838"/>
      <w:pgMar w:top="900" w:right="1440" w:bottom="1170" w:left="1440" w:header="709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DE" w:rsidRDefault="005378DE" w:rsidP="001538CC">
      <w:pPr>
        <w:spacing w:after="0" w:line="240" w:lineRule="auto"/>
      </w:pPr>
      <w:r>
        <w:separator/>
      </w:r>
    </w:p>
  </w:endnote>
  <w:endnote w:type="continuationSeparator" w:id="0">
    <w:p w:rsidR="005378DE" w:rsidRDefault="005378DE" w:rsidP="0015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10675837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936E5" w:rsidRPr="004936E5" w:rsidRDefault="004936E5">
            <w:pPr>
              <w:pStyle w:val="Footer"/>
              <w:jc w:val="right"/>
              <w:rPr>
                <w:rFonts w:ascii="Garamond" w:hAnsi="Garamond"/>
              </w:rPr>
            </w:pPr>
            <w:r w:rsidRPr="004936E5">
              <w:rPr>
                <w:rFonts w:ascii="Garamond" w:hAnsi="Garamond"/>
              </w:rPr>
              <w:t xml:space="preserve">Page </w:t>
            </w:r>
            <w:r w:rsidR="00C565AF" w:rsidRPr="004936E5">
              <w:rPr>
                <w:rFonts w:ascii="Garamond" w:hAnsi="Garamond"/>
              </w:rPr>
              <w:fldChar w:fldCharType="begin"/>
            </w:r>
            <w:r w:rsidRPr="004936E5">
              <w:rPr>
                <w:rFonts w:ascii="Garamond" w:hAnsi="Garamond"/>
              </w:rPr>
              <w:instrText xml:space="preserve"> PAGE </w:instrText>
            </w:r>
            <w:r w:rsidR="00C565AF" w:rsidRPr="004936E5">
              <w:rPr>
                <w:rFonts w:ascii="Garamond" w:hAnsi="Garamond"/>
              </w:rPr>
              <w:fldChar w:fldCharType="separate"/>
            </w:r>
            <w:r w:rsidR="00AB4EB1">
              <w:rPr>
                <w:rFonts w:ascii="Garamond" w:hAnsi="Garamond"/>
                <w:noProof/>
              </w:rPr>
              <w:t>1</w:t>
            </w:r>
            <w:r w:rsidR="00C565AF" w:rsidRPr="004936E5">
              <w:rPr>
                <w:rFonts w:ascii="Garamond" w:hAnsi="Garamond"/>
              </w:rPr>
              <w:fldChar w:fldCharType="end"/>
            </w:r>
            <w:r w:rsidRPr="004936E5">
              <w:rPr>
                <w:rFonts w:ascii="Garamond" w:hAnsi="Garamond"/>
              </w:rPr>
              <w:t xml:space="preserve"> of </w:t>
            </w:r>
            <w:r w:rsidR="00C565AF" w:rsidRPr="004936E5">
              <w:rPr>
                <w:rFonts w:ascii="Garamond" w:hAnsi="Garamond"/>
              </w:rPr>
              <w:fldChar w:fldCharType="begin"/>
            </w:r>
            <w:r w:rsidRPr="004936E5">
              <w:rPr>
                <w:rFonts w:ascii="Garamond" w:hAnsi="Garamond"/>
              </w:rPr>
              <w:instrText xml:space="preserve"> NUMPAGES  </w:instrText>
            </w:r>
            <w:r w:rsidR="00C565AF" w:rsidRPr="004936E5">
              <w:rPr>
                <w:rFonts w:ascii="Garamond" w:hAnsi="Garamond"/>
              </w:rPr>
              <w:fldChar w:fldCharType="separate"/>
            </w:r>
            <w:r w:rsidR="00AB4EB1">
              <w:rPr>
                <w:rFonts w:ascii="Garamond" w:hAnsi="Garamond"/>
                <w:noProof/>
              </w:rPr>
              <w:t>2</w:t>
            </w:r>
            <w:r w:rsidR="00C565AF" w:rsidRPr="004936E5">
              <w:rPr>
                <w:rFonts w:ascii="Garamond" w:hAnsi="Garamond"/>
              </w:rPr>
              <w:fldChar w:fldCharType="end"/>
            </w:r>
          </w:p>
        </w:sdtContent>
      </w:sdt>
    </w:sdtContent>
  </w:sdt>
  <w:p w:rsidR="001538CC" w:rsidRDefault="00153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DE" w:rsidRDefault="005378DE" w:rsidP="001538CC">
      <w:pPr>
        <w:spacing w:after="0" w:line="240" w:lineRule="auto"/>
      </w:pPr>
      <w:r>
        <w:separator/>
      </w:r>
    </w:p>
  </w:footnote>
  <w:footnote w:type="continuationSeparator" w:id="0">
    <w:p w:rsidR="005378DE" w:rsidRDefault="005378DE" w:rsidP="00153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0A9"/>
    <w:multiLevelType w:val="hybridMultilevel"/>
    <w:tmpl w:val="14F0B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96CB2"/>
    <w:multiLevelType w:val="hybridMultilevel"/>
    <w:tmpl w:val="5B125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264F8"/>
    <w:multiLevelType w:val="hybridMultilevel"/>
    <w:tmpl w:val="95ECE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B10A7"/>
    <w:multiLevelType w:val="hybridMultilevel"/>
    <w:tmpl w:val="F7FC49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36594"/>
    <w:multiLevelType w:val="hybridMultilevel"/>
    <w:tmpl w:val="70E6A3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D521BE"/>
    <w:multiLevelType w:val="hybridMultilevel"/>
    <w:tmpl w:val="63FAD4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45291"/>
    <w:multiLevelType w:val="hybridMultilevel"/>
    <w:tmpl w:val="7C9A82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C3E7F"/>
    <w:multiLevelType w:val="hybridMultilevel"/>
    <w:tmpl w:val="A2622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E6229"/>
    <w:multiLevelType w:val="hybridMultilevel"/>
    <w:tmpl w:val="209A2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9735A4"/>
    <w:multiLevelType w:val="hybridMultilevel"/>
    <w:tmpl w:val="6A221A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31C5E"/>
    <w:multiLevelType w:val="hybridMultilevel"/>
    <w:tmpl w:val="D0422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FA"/>
    <w:rsid w:val="0006005C"/>
    <w:rsid w:val="000A1C27"/>
    <w:rsid w:val="000A3529"/>
    <w:rsid w:val="000B2103"/>
    <w:rsid w:val="000C0848"/>
    <w:rsid w:val="000C4ADB"/>
    <w:rsid w:val="000C5530"/>
    <w:rsid w:val="000F02D3"/>
    <w:rsid w:val="0011140A"/>
    <w:rsid w:val="00141CB2"/>
    <w:rsid w:val="001458C6"/>
    <w:rsid w:val="001538CC"/>
    <w:rsid w:val="001943F1"/>
    <w:rsid w:val="001A792B"/>
    <w:rsid w:val="002026F6"/>
    <w:rsid w:val="0024336C"/>
    <w:rsid w:val="002906F7"/>
    <w:rsid w:val="002A39E4"/>
    <w:rsid w:val="002B1286"/>
    <w:rsid w:val="002C063D"/>
    <w:rsid w:val="00316B1C"/>
    <w:rsid w:val="00336A68"/>
    <w:rsid w:val="00347917"/>
    <w:rsid w:val="00376FD1"/>
    <w:rsid w:val="003937A0"/>
    <w:rsid w:val="003D1F3E"/>
    <w:rsid w:val="003D5759"/>
    <w:rsid w:val="004374C8"/>
    <w:rsid w:val="004936E5"/>
    <w:rsid w:val="004C5ADC"/>
    <w:rsid w:val="005215B6"/>
    <w:rsid w:val="005378DE"/>
    <w:rsid w:val="005432EC"/>
    <w:rsid w:val="00553934"/>
    <w:rsid w:val="00570DC4"/>
    <w:rsid w:val="005A08EE"/>
    <w:rsid w:val="0063634D"/>
    <w:rsid w:val="00651017"/>
    <w:rsid w:val="0065127E"/>
    <w:rsid w:val="0068094E"/>
    <w:rsid w:val="006869D1"/>
    <w:rsid w:val="0069372C"/>
    <w:rsid w:val="006B19E1"/>
    <w:rsid w:val="006D321F"/>
    <w:rsid w:val="006D7436"/>
    <w:rsid w:val="006F34FA"/>
    <w:rsid w:val="0075028F"/>
    <w:rsid w:val="007C4A63"/>
    <w:rsid w:val="007E247B"/>
    <w:rsid w:val="007F0D5D"/>
    <w:rsid w:val="00807D5A"/>
    <w:rsid w:val="008331E3"/>
    <w:rsid w:val="00851C63"/>
    <w:rsid w:val="00880136"/>
    <w:rsid w:val="00886B49"/>
    <w:rsid w:val="008A3798"/>
    <w:rsid w:val="008D2211"/>
    <w:rsid w:val="00923C10"/>
    <w:rsid w:val="00924E74"/>
    <w:rsid w:val="00952AB5"/>
    <w:rsid w:val="00962DD8"/>
    <w:rsid w:val="00971E50"/>
    <w:rsid w:val="009835AB"/>
    <w:rsid w:val="009A6A6E"/>
    <w:rsid w:val="00A271CD"/>
    <w:rsid w:val="00A324D9"/>
    <w:rsid w:val="00A5015B"/>
    <w:rsid w:val="00A67013"/>
    <w:rsid w:val="00A70D6C"/>
    <w:rsid w:val="00A93FDD"/>
    <w:rsid w:val="00AB4EB1"/>
    <w:rsid w:val="00B02643"/>
    <w:rsid w:val="00B34DEB"/>
    <w:rsid w:val="00B5761B"/>
    <w:rsid w:val="00B66305"/>
    <w:rsid w:val="00BE776D"/>
    <w:rsid w:val="00C067EF"/>
    <w:rsid w:val="00C565AF"/>
    <w:rsid w:val="00C57799"/>
    <w:rsid w:val="00CD1FEE"/>
    <w:rsid w:val="00CE1110"/>
    <w:rsid w:val="00D07477"/>
    <w:rsid w:val="00D22A10"/>
    <w:rsid w:val="00D60F75"/>
    <w:rsid w:val="00DB05A4"/>
    <w:rsid w:val="00DC5B84"/>
    <w:rsid w:val="00DE0DCF"/>
    <w:rsid w:val="00E05E48"/>
    <w:rsid w:val="00E42C57"/>
    <w:rsid w:val="00E73DA8"/>
    <w:rsid w:val="00EC3A2D"/>
    <w:rsid w:val="00ED532E"/>
    <w:rsid w:val="00ED6D01"/>
    <w:rsid w:val="00F41676"/>
    <w:rsid w:val="00F4719C"/>
    <w:rsid w:val="00F92D20"/>
    <w:rsid w:val="00FC0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B49"/>
    <w:pPr>
      <w:ind w:left="720"/>
      <w:contextualSpacing/>
    </w:pPr>
  </w:style>
  <w:style w:type="table" w:styleId="TableGrid">
    <w:name w:val="Table Grid"/>
    <w:basedOn w:val="TableNormal"/>
    <w:uiPriority w:val="59"/>
    <w:rsid w:val="000C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8CC"/>
  </w:style>
  <w:style w:type="paragraph" w:styleId="Footer">
    <w:name w:val="footer"/>
    <w:basedOn w:val="Normal"/>
    <w:link w:val="FooterChar"/>
    <w:uiPriority w:val="99"/>
    <w:unhideWhenUsed/>
    <w:rsid w:val="001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B49"/>
    <w:pPr>
      <w:ind w:left="720"/>
      <w:contextualSpacing/>
    </w:pPr>
  </w:style>
  <w:style w:type="table" w:styleId="TableGrid">
    <w:name w:val="Table Grid"/>
    <w:basedOn w:val="TableNormal"/>
    <w:uiPriority w:val="59"/>
    <w:rsid w:val="000C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8CC"/>
  </w:style>
  <w:style w:type="paragraph" w:styleId="Footer">
    <w:name w:val="footer"/>
    <w:basedOn w:val="Normal"/>
    <w:link w:val="FooterChar"/>
    <w:uiPriority w:val="99"/>
    <w:unhideWhenUsed/>
    <w:rsid w:val="001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9C8926-A12F-413C-888F-39D57BBF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Chioma</cp:lastModifiedBy>
  <cp:revision>2</cp:revision>
  <dcterms:created xsi:type="dcterms:W3CDTF">2016-02-17T08:28:00Z</dcterms:created>
  <dcterms:modified xsi:type="dcterms:W3CDTF">2016-02-17T08:28:00Z</dcterms:modified>
</cp:coreProperties>
</file>