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94" w:rsidRPr="00460294" w:rsidRDefault="00460294" w:rsidP="00460294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 w:rsidRPr="00460294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6955" cy="1158875"/>
            <wp:effectExtent l="1905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4" w:rsidRPr="00460294" w:rsidRDefault="00460294" w:rsidP="00460294">
      <w:pPr>
        <w:pStyle w:val="ListParagraph"/>
        <w:ind w:left="0"/>
        <w:jc w:val="center"/>
        <w:rPr>
          <w:rFonts w:ascii="Garamond" w:hAnsi="Garamond"/>
          <w:b/>
          <w:sz w:val="28"/>
          <w:szCs w:val="28"/>
        </w:rPr>
      </w:pPr>
      <w:r w:rsidRPr="00460294">
        <w:rPr>
          <w:rFonts w:ascii="Garamond" w:hAnsi="Garamond"/>
          <w:b/>
          <w:sz w:val="28"/>
          <w:szCs w:val="28"/>
        </w:rPr>
        <w:t>STATE-SPECIFIC RECOMMENDATIONS</w:t>
      </w:r>
    </w:p>
    <w:p w:rsidR="00460294" w:rsidRPr="00460294" w:rsidRDefault="00460294" w:rsidP="00460294">
      <w:pPr>
        <w:pStyle w:val="ListParagraph"/>
        <w:ind w:left="0"/>
        <w:jc w:val="center"/>
        <w:rPr>
          <w:rFonts w:ascii="Garamond" w:hAnsi="Garamond"/>
          <w:b/>
          <w:sz w:val="16"/>
          <w:szCs w:val="26"/>
        </w:rPr>
      </w:pPr>
    </w:p>
    <w:p w:rsidR="00460294" w:rsidRPr="00460294" w:rsidRDefault="00460294" w:rsidP="00460294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460294">
        <w:rPr>
          <w:rFonts w:ascii="Garamond" w:hAnsi="Garamond"/>
          <w:b/>
          <w:sz w:val="28"/>
          <w:szCs w:val="28"/>
          <w:u w:val="single"/>
        </w:rPr>
        <w:t>Scorecard for Benue State</w:t>
      </w:r>
    </w:p>
    <w:p w:rsidR="00460294" w:rsidRPr="00460294" w:rsidRDefault="00460294" w:rsidP="00460294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18"/>
          <w:szCs w:val="28"/>
          <w:u w:val="single"/>
        </w:rPr>
      </w:pPr>
    </w:p>
    <w:p w:rsidR="00494BF6" w:rsidRDefault="0072448C" w:rsidP="00460294">
      <w:pPr>
        <w:pStyle w:val="ListParagraph"/>
        <w:spacing w:before="240" w:after="0" w:line="360" w:lineRule="auto"/>
        <w:ind w:left="0"/>
        <w:jc w:val="both"/>
        <w:rPr>
          <w:rFonts w:ascii="Garamond" w:hAnsi="Garamond"/>
          <w:sz w:val="26"/>
          <w:szCs w:val="26"/>
        </w:rPr>
      </w:pPr>
      <w:r w:rsidRPr="00460294">
        <w:rPr>
          <w:rFonts w:ascii="Garamond" w:hAnsi="Garamond"/>
          <w:sz w:val="26"/>
          <w:szCs w:val="26"/>
        </w:rPr>
        <w:t xml:space="preserve">IGR in Benue </w:t>
      </w:r>
      <w:r w:rsidR="0085625F" w:rsidRPr="00460294">
        <w:rPr>
          <w:rFonts w:ascii="Garamond" w:hAnsi="Garamond"/>
          <w:sz w:val="26"/>
          <w:szCs w:val="26"/>
        </w:rPr>
        <w:t xml:space="preserve">State accounts for </w:t>
      </w:r>
      <w:r w:rsidR="00460294">
        <w:rPr>
          <w:rFonts w:ascii="Garamond" w:hAnsi="Garamond"/>
          <w:sz w:val="26"/>
          <w:szCs w:val="26"/>
        </w:rPr>
        <w:t>12.6</w:t>
      </w:r>
      <w:r w:rsidR="00FE3E3E" w:rsidRPr="00460294">
        <w:rPr>
          <w:rFonts w:ascii="Garamond" w:hAnsi="Garamond"/>
          <w:sz w:val="26"/>
          <w:szCs w:val="26"/>
        </w:rPr>
        <w:t>%</w:t>
      </w:r>
      <w:r w:rsidRPr="00460294">
        <w:rPr>
          <w:rFonts w:ascii="Garamond" w:hAnsi="Garamond"/>
          <w:sz w:val="26"/>
          <w:szCs w:val="26"/>
        </w:rPr>
        <w:t xml:space="preserve"> of its total</w:t>
      </w:r>
      <w:r w:rsidR="00182063" w:rsidRPr="00460294">
        <w:rPr>
          <w:rFonts w:ascii="Garamond" w:hAnsi="Garamond"/>
          <w:sz w:val="26"/>
          <w:szCs w:val="26"/>
        </w:rPr>
        <w:t xml:space="preserve"> </w:t>
      </w:r>
      <w:r w:rsidR="00460294">
        <w:rPr>
          <w:rFonts w:ascii="Garamond" w:hAnsi="Garamond"/>
          <w:sz w:val="26"/>
          <w:szCs w:val="26"/>
        </w:rPr>
        <w:t xml:space="preserve">recurrent </w:t>
      </w:r>
      <w:r w:rsidR="009723B3">
        <w:rPr>
          <w:rFonts w:ascii="Garamond" w:hAnsi="Garamond"/>
          <w:sz w:val="26"/>
          <w:szCs w:val="26"/>
        </w:rPr>
        <w:t>revenue</w:t>
      </w:r>
      <w:bookmarkStart w:id="0" w:name="_GoBack"/>
      <w:bookmarkEnd w:id="0"/>
      <w:r w:rsidR="00460294">
        <w:rPr>
          <w:rFonts w:ascii="Garamond" w:hAnsi="Garamond"/>
          <w:sz w:val="26"/>
          <w:szCs w:val="26"/>
        </w:rPr>
        <w:t>, with around 87.4% sourced from federation revenues</w:t>
      </w:r>
      <w:r w:rsidRPr="00460294">
        <w:rPr>
          <w:rFonts w:ascii="Garamond" w:hAnsi="Garamond"/>
          <w:sz w:val="26"/>
          <w:szCs w:val="26"/>
        </w:rPr>
        <w:t xml:space="preserve">. </w:t>
      </w:r>
      <w:r w:rsidR="0085625F" w:rsidRPr="00460294">
        <w:rPr>
          <w:rFonts w:ascii="Garamond" w:hAnsi="Garamond"/>
          <w:sz w:val="26"/>
          <w:szCs w:val="26"/>
        </w:rPr>
        <w:t>I</w:t>
      </w:r>
      <w:r w:rsidR="00494BF6" w:rsidRPr="00460294">
        <w:rPr>
          <w:rFonts w:ascii="Garamond" w:hAnsi="Garamond"/>
          <w:sz w:val="26"/>
          <w:szCs w:val="26"/>
        </w:rPr>
        <w:t>n the last five years</w:t>
      </w:r>
      <w:r w:rsidR="0085625F" w:rsidRPr="00460294">
        <w:rPr>
          <w:rFonts w:ascii="Garamond" w:hAnsi="Garamond"/>
          <w:sz w:val="26"/>
          <w:szCs w:val="26"/>
        </w:rPr>
        <w:t>, the revenue component has grown</w:t>
      </w:r>
      <w:r w:rsidR="00494BF6" w:rsidRPr="00460294">
        <w:rPr>
          <w:rFonts w:ascii="Garamond" w:hAnsi="Garamond"/>
          <w:sz w:val="26"/>
          <w:szCs w:val="26"/>
        </w:rPr>
        <w:t xml:space="preserve"> </w:t>
      </w:r>
      <w:r w:rsidR="0085625F" w:rsidRPr="00460294">
        <w:rPr>
          <w:rFonts w:ascii="Garamond" w:hAnsi="Garamond"/>
          <w:sz w:val="26"/>
          <w:szCs w:val="26"/>
        </w:rPr>
        <w:t xml:space="preserve">only marginally </w:t>
      </w:r>
      <w:r w:rsidR="00494BF6" w:rsidRPr="00460294">
        <w:rPr>
          <w:rFonts w:ascii="Garamond" w:hAnsi="Garamond"/>
          <w:sz w:val="26"/>
          <w:szCs w:val="26"/>
        </w:rPr>
        <w:t xml:space="preserve">by </w:t>
      </w:r>
      <w:r w:rsidR="00460294">
        <w:rPr>
          <w:rFonts w:ascii="Garamond" w:hAnsi="Garamond"/>
          <w:sz w:val="26"/>
          <w:szCs w:val="26"/>
        </w:rPr>
        <w:t>4.8%</w:t>
      </w:r>
      <w:r w:rsidR="0085625F" w:rsidRPr="00460294">
        <w:rPr>
          <w:rFonts w:ascii="Garamond" w:hAnsi="Garamond"/>
          <w:sz w:val="26"/>
          <w:szCs w:val="26"/>
        </w:rPr>
        <w:t>,</w:t>
      </w:r>
      <w:r w:rsidR="00494BF6" w:rsidRPr="00460294">
        <w:rPr>
          <w:rFonts w:ascii="Garamond" w:hAnsi="Garamond"/>
          <w:sz w:val="26"/>
          <w:szCs w:val="26"/>
        </w:rPr>
        <w:t xml:space="preserve"> from N6.8 billion in 2010 to </w:t>
      </w:r>
      <w:r w:rsidR="0085625F" w:rsidRPr="00460294">
        <w:rPr>
          <w:rFonts w:ascii="Garamond" w:hAnsi="Garamond"/>
          <w:sz w:val="26"/>
          <w:szCs w:val="26"/>
        </w:rPr>
        <w:t>N</w:t>
      </w:r>
      <w:r w:rsidR="00460294">
        <w:rPr>
          <w:rFonts w:ascii="Garamond" w:hAnsi="Garamond"/>
          <w:sz w:val="26"/>
          <w:szCs w:val="26"/>
        </w:rPr>
        <w:t>8.3</w:t>
      </w:r>
      <w:r w:rsidR="0085625F" w:rsidRPr="00460294">
        <w:rPr>
          <w:rFonts w:ascii="Garamond" w:hAnsi="Garamond"/>
          <w:sz w:val="26"/>
          <w:szCs w:val="26"/>
        </w:rPr>
        <w:t xml:space="preserve"> </w:t>
      </w:r>
      <w:r w:rsidR="00494BF6" w:rsidRPr="00460294">
        <w:rPr>
          <w:rFonts w:ascii="Garamond" w:hAnsi="Garamond"/>
          <w:sz w:val="26"/>
          <w:szCs w:val="26"/>
        </w:rPr>
        <w:t>billion in 2014. This grow</w:t>
      </w:r>
      <w:r w:rsidRPr="00460294">
        <w:rPr>
          <w:rFonts w:ascii="Garamond" w:hAnsi="Garamond"/>
          <w:sz w:val="26"/>
          <w:szCs w:val="26"/>
        </w:rPr>
        <w:t>th is relatively low compared with</w:t>
      </w:r>
      <w:r w:rsidR="00494BF6" w:rsidRPr="00460294">
        <w:rPr>
          <w:rFonts w:ascii="Garamond" w:hAnsi="Garamond"/>
          <w:sz w:val="26"/>
          <w:szCs w:val="26"/>
        </w:rPr>
        <w:t xml:space="preserve"> </w:t>
      </w:r>
      <w:r w:rsidR="00460294">
        <w:rPr>
          <w:rFonts w:ascii="Garamond" w:hAnsi="Garamond"/>
          <w:sz w:val="26"/>
          <w:szCs w:val="26"/>
        </w:rPr>
        <w:t>the regional average of 19%.</w:t>
      </w:r>
    </w:p>
    <w:p w:rsidR="00460294" w:rsidRPr="00460294" w:rsidRDefault="00460294" w:rsidP="00494BF6">
      <w:pPr>
        <w:pStyle w:val="ListParagraph"/>
        <w:spacing w:before="240" w:after="0"/>
        <w:ind w:left="0"/>
        <w:jc w:val="both"/>
        <w:rPr>
          <w:rFonts w:ascii="Garamond" w:hAnsi="Garamond"/>
          <w:sz w:val="26"/>
          <w:szCs w:val="26"/>
        </w:rPr>
      </w:pPr>
    </w:p>
    <w:p w:rsidR="00460294" w:rsidRPr="00460294" w:rsidRDefault="00460294" w:rsidP="00460294">
      <w:pPr>
        <w:jc w:val="center"/>
        <w:rPr>
          <w:rFonts w:ascii="Garamond" w:hAnsi="Garamond"/>
          <w:b/>
          <w:sz w:val="26"/>
          <w:szCs w:val="26"/>
        </w:rPr>
      </w:pPr>
      <w:r w:rsidRPr="00460294">
        <w:rPr>
          <w:rFonts w:ascii="Garamond" w:hAnsi="Garamond"/>
          <w:b/>
          <w:sz w:val="26"/>
          <w:szCs w:val="26"/>
        </w:rPr>
        <w:t>IGR SNAPSHOT IN THE NORTH CENTRAL ZONE (2014)</w:t>
      </w:r>
    </w:p>
    <w:tbl>
      <w:tblPr>
        <w:tblW w:w="10626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529"/>
        <w:gridCol w:w="1776"/>
        <w:gridCol w:w="1889"/>
        <w:gridCol w:w="1281"/>
        <w:gridCol w:w="2177"/>
        <w:gridCol w:w="1237"/>
      </w:tblGrid>
      <w:tr w:rsidR="00460294" w:rsidRPr="00460294" w:rsidTr="00460294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460294" w:rsidRPr="00460294" w:rsidRDefault="00460294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52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460294" w:rsidRPr="00460294" w:rsidRDefault="00460294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460294" w:rsidRPr="00460294" w:rsidRDefault="00460294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460294" w:rsidRPr="00460294" w:rsidRDefault="00460294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460294" w:rsidRPr="00460294" w:rsidRDefault="00460294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460294" w:rsidRPr="00460294" w:rsidRDefault="00460294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3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460294" w:rsidRPr="00460294" w:rsidRDefault="00460294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460294" w:rsidRPr="00460294" w:rsidTr="00460294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bookmarkStart w:id="1" w:name="OLE_LINK1" w:colFirst="1" w:colLast="1"/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KWARA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1,038,376,496.21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12,460,517,954.55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14.3%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4,158.55 </w:t>
            </w:r>
          </w:p>
        </w:tc>
      </w:tr>
      <w:tr w:rsidR="00460294" w:rsidRPr="00460294" w:rsidTr="00460294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BENUE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    690,368,763.39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   8,284,425,160.72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FF0000"/>
                <w:sz w:val="24"/>
                <w:szCs w:val="24"/>
              </w:rPr>
              <w:t>4.8%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FF0000"/>
                <w:sz w:val="24"/>
                <w:szCs w:val="24"/>
              </w:rPr>
              <w:t>12.6%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1,537.46 </w:t>
            </w:r>
          </w:p>
        </w:tc>
      </w:tr>
      <w:tr w:rsidR="00460294" w:rsidRPr="00460294" w:rsidTr="00460294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PLATEAU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 690,368,763.33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8,284,425,159.92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24.9%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2,087.68 </w:t>
            </w:r>
          </w:p>
        </w:tc>
      </w:tr>
      <w:tr w:rsidR="00460294" w:rsidRPr="00460294" w:rsidTr="00460294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KOGI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 547,494,054.46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6,569,928,653.47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31.2%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10.5%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1,564.97 </w:t>
            </w:r>
          </w:p>
        </w:tc>
      </w:tr>
      <w:tr w:rsidR="00460294" w:rsidRPr="00460294" w:rsidTr="00460294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NIGER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 478,098,752.99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5,737,185,035.88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1,110.23 </w:t>
            </w:r>
          </w:p>
        </w:tc>
      </w:tr>
      <w:tr w:rsidR="00460294" w:rsidRPr="00460294" w:rsidTr="00460294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NASARAWA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 340,427,298.81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4,085,127,585.70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460294" w:rsidRPr="00460294" w:rsidRDefault="00460294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1,725.09 </w:t>
            </w:r>
          </w:p>
        </w:tc>
      </w:tr>
      <w:bookmarkEnd w:id="1"/>
    </w:tbl>
    <w:p w:rsidR="00033A31" w:rsidRPr="00460294" w:rsidRDefault="00033A31" w:rsidP="00494BF6">
      <w:pPr>
        <w:pStyle w:val="ListParagraph"/>
        <w:spacing w:before="240" w:after="0"/>
        <w:ind w:left="0"/>
        <w:jc w:val="both"/>
        <w:rPr>
          <w:rFonts w:ascii="Garamond" w:hAnsi="Garamond"/>
          <w:sz w:val="26"/>
          <w:szCs w:val="26"/>
        </w:rPr>
      </w:pPr>
    </w:p>
    <w:p w:rsidR="00665F5C" w:rsidRPr="00460294" w:rsidRDefault="0085625F" w:rsidP="00460294">
      <w:pPr>
        <w:spacing w:line="360" w:lineRule="auto"/>
        <w:rPr>
          <w:rFonts w:ascii="Garamond" w:hAnsi="Garamond"/>
          <w:sz w:val="26"/>
          <w:szCs w:val="26"/>
        </w:rPr>
      </w:pPr>
      <w:r w:rsidRPr="00460294">
        <w:rPr>
          <w:rFonts w:ascii="Garamond" w:hAnsi="Garamond"/>
          <w:sz w:val="26"/>
          <w:szCs w:val="26"/>
        </w:rPr>
        <w:t>Key challenges that have affected revenue generation include the following:</w:t>
      </w:r>
    </w:p>
    <w:p w:rsidR="008F741C" w:rsidRPr="00460294" w:rsidRDefault="008F741C" w:rsidP="004602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460294">
        <w:rPr>
          <w:rFonts w:ascii="Garamond" w:hAnsi="Garamond"/>
          <w:sz w:val="26"/>
          <w:szCs w:val="26"/>
        </w:rPr>
        <w:t>Non automation of tax collection which has promoted the activities of fraudsters who extort money from unsuspecting members of the public</w:t>
      </w:r>
      <w:r w:rsidR="002B21A6" w:rsidRPr="00460294">
        <w:rPr>
          <w:rFonts w:ascii="Garamond" w:hAnsi="Garamond"/>
          <w:sz w:val="26"/>
          <w:szCs w:val="26"/>
        </w:rPr>
        <w:t>.</w:t>
      </w:r>
      <w:r w:rsidRPr="00460294">
        <w:rPr>
          <w:rFonts w:ascii="Garamond" w:hAnsi="Garamond"/>
          <w:sz w:val="26"/>
          <w:szCs w:val="26"/>
        </w:rPr>
        <w:t xml:space="preserve"> </w:t>
      </w:r>
      <w:r w:rsidR="002B21A6" w:rsidRPr="00460294">
        <w:rPr>
          <w:rFonts w:ascii="Garamond" w:hAnsi="Garamond"/>
          <w:sz w:val="26"/>
          <w:szCs w:val="26"/>
        </w:rPr>
        <w:t>Thi</w:t>
      </w:r>
      <w:r w:rsidRPr="00460294">
        <w:rPr>
          <w:rFonts w:ascii="Garamond" w:hAnsi="Garamond"/>
          <w:sz w:val="26"/>
          <w:szCs w:val="26"/>
        </w:rPr>
        <w:t xml:space="preserve">s </w:t>
      </w:r>
      <w:r w:rsidR="002B21A6" w:rsidRPr="00460294">
        <w:rPr>
          <w:rFonts w:ascii="Garamond" w:hAnsi="Garamond"/>
          <w:sz w:val="26"/>
          <w:szCs w:val="26"/>
        </w:rPr>
        <w:t>has continually lead</w:t>
      </w:r>
      <w:r w:rsidRPr="00460294">
        <w:rPr>
          <w:rFonts w:ascii="Garamond" w:hAnsi="Garamond"/>
          <w:sz w:val="26"/>
          <w:szCs w:val="26"/>
        </w:rPr>
        <w:t xml:space="preserve"> to </w:t>
      </w:r>
      <w:r w:rsidR="002B21A6" w:rsidRPr="00460294">
        <w:rPr>
          <w:rFonts w:ascii="Garamond" w:hAnsi="Garamond"/>
          <w:sz w:val="26"/>
          <w:szCs w:val="26"/>
        </w:rPr>
        <w:t xml:space="preserve">high </w:t>
      </w:r>
      <w:r w:rsidRPr="00460294">
        <w:rPr>
          <w:rFonts w:ascii="Garamond" w:hAnsi="Garamond"/>
          <w:sz w:val="26"/>
          <w:szCs w:val="26"/>
        </w:rPr>
        <w:t>leakages</w:t>
      </w:r>
      <w:r w:rsidR="002B21A6" w:rsidRPr="00460294">
        <w:rPr>
          <w:rFonts w:ascii="Garamond" w:hAnsi="Garamond"/>
          <w:sz w:val="26"/>
          <w:szCs w:val="26"/>
        </w:rPr>
        <w:t xml:space="preserve"> in the system</w:t>
      </w:r>
    </w:p>
    <w:p w:rsidR="008F741C" w:rsidRPr="00460294" w:rsidRDefault="0085625F" w:rsidP="004602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460294">
        <w:rPr>
          <w:rFonts w:ascii="Garamond" w:hAnsi="Garamond"/>
          <w:sz w:val="26"/>
          <w:szCs w:val="26"/>
        </w:rPr>
        <w:t xml:space="preserve">The State’s </w:t>
      </w:r>
      <w:r w:rsidR="0025181A" w:rsidRPr="00460294">
        <w:rPr>
          <w:rFonts w:ascii="Garamond" w:hAnsi="Garamond"/>
          <w:sz w:val="26"/>
          <w:szCs w:val="26"/>
        </w:rPr>
        <w:t>IRS does not have financial autonomy</w:t>
      </w:r>
    </w:p>
    <w:p w:rsidR="0025181A" w:rsidRPr="00460294" w:rsidRDefault="008F741C" w:rsidP="004602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460294">
        <w:rPr>
          <w:rFonts w:ascii="Garamond" w:hAnsi="Garamond"/>
          <w:sz w:val="26"/>
          <w:szCs w:val="26"/>
        </w:rPr>
        <w:t>Lack of</w:t>
      </w:r>
      <w:r w:rsidR="0025181A" w:rsidRPr="00460294">
        <w:rPr>
          <w:rFonts w:ascii="Garamond" w:hAnsi="Garamond"/>
          <w:sz w:val="26"/>
          <w:szCs w:val="26"/>
        </w:rPr>
        <w:t xml:space="preserve"> </w:t>
      </w:r>
      <w:r w:rsidRPr="00460294">
        <w:rPr>
          <w:rFonts w:ascii="Garamond" w:hAnsi="Garamond"/>
          <w:sz w:val="26"/>
          <w:szCs w:val="26"/>
        </w:rPr>
        <w:t>incentive</w:t>
      </w:r>
      <w:r w:rsidR="0025181A" w:rsidRPr="00460294">
        <w:rPr>
          <w:rFonts w:ascii="Garamond" w:hAnsi="Garamond"/>
          <w:sz w:val="26"/>
          <w:szCs w:val="26"/>
        </w:rPr>
        <w:t xml:space="preserve"> for </w:t>
      </w:r>
      <w:r w:rsidRPr="00460294">
        <w:rPr>
          <w:rFonts w:ascii="Garamond" w:hAnsi="Garamond"/>
          <w:sz w:val="26"/>
          <w:szCs w:val="26"/>
        </w:rPr>
        <w:t xml:space="preserve">tax </w:t>
      </w:r>
      <w:r w:rsidR="002B21A6" w:rsidRPr="00460294">
        <w:rPr>
          <w:rFonts w:ascii="Garamond" w:hAnsi="Garamond"/>
          <w:sz w:val="26"/>
          <w:szCs w:val="26"/>
        </w:rPr>
        <w:t>personnel</w:t>
      </w:r>
    </w:p>
    <w:p w:rsidR="0025181A" w:rsidRPr="00460294" w:rsidRDefault="0025181A" w:rsidP="0025181A">
      <w:pPr>
        <w:pStyle w:val="ListParagraph"/>
        <w:spacing w:after="0" w:line="240" w:lineRule="auto"/>
        <w:jc w:val="both"/>
        <w:rPr>
          <w:rFonts w:ascii="Garamond" w:eastAsiaTheme="minorHAnsi" w:hAnsi="Garamond" w:cstheme="minorBidi"/>
          <w:b/>
          <w:sz w:val="26"/>
          <w:szCs w:val="26"/>
        </w:rPr>
      </w:pPr>
    </w:p>
    <w:p w:rsidR="00975031" w:rsidRPr="00460294" w:rsidRDefault="00460294" w:rsidP="0046029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9899" w:type="dxa"/>
        <w:jc w:val="center"/>
        <w:tblLook w:val="04A0" w:firstRow="1" w:lastRow="0" w:firstColumn="1" w:lastColumn="0" w:noHBand="0" w:noVBand="1"/>
      </w:tblPr>
      <w:tblGrid>
        <w:gridCol w:w="569"/>
        <w:gridCol w:w="2553"/>
        <w:gridCol w:w="3033"/>
        <w:gridCol w:w="1530"/>
        <w:gridCol w:w="2214"/>
      </w:tblGrid>
      <w:tr w:rsidR="00E8053C" w:rsidRPr="00460294" w:rsidTr="00460294">
        <w:trPr>
          <w:trHeight w:val="388"/>
          <w:jc w:val="center"/>
        </w:trPr>
        <w:tc>
          <w:tcPr>
            <w:tcW w:w="569" w:type="dxa"/>
            <w:shd w:val="pct5" w:color="auto" w:fill="auto"/>
          </w:tcPr>
          <w:p w:rsidR="00E8053C" w:rsidRPr="00460294" w:rsidRDefault="002B21A6" w:rsidP="00494BF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60294">
              <w:rPr>
                <w:rFonts w:ascii="Garamond" w:hAnsi="Garamond"/>
                <w:b/>
                <w:sz w:val="26"/>
                <w:szCs w:val="26"/>
              </w:rPr>
              <w:t>S</w:t>
            </w:r>
            <w:r w:rsidR="00FE3E3E" w:rsidRPr="00460294">
              <w:rPr>
                <w:rFonts w:ascii="Garamond" w:hAnsi="Garamond"/>
                <w:b/>
                <w:sz w:val="26"/>
                <w:szCs w:val="26"/>
              </w:rPr>
              <w:t>N</w:t>
            </w:r>
          </w:p>
        </w:tc>
        <w:tc>
          <w:tcPr>
            <w:tcW w:w="2553" w:type="dxa"/>
            <w:shd w:val="pct5" w:color="auto" w:fill="auto"/>
          </w:tcPr>
          <w:p w:rsidR="00E8053C" w:rsidRPr="00460294" w:rsidRDefault="002B21A6" w:rsidP="00494BF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60294">
              <w:rPr>
                <w:rFonts w:ascii="Garamond" w:hAnsi="Garamond"/>
                <w:b/>
                <w:sz w:val="26"/>
                <w:szCs w:val="26"/>
              </w:rPr>
              <w:t>Goals</w:t>
            </w:r>
          </w:p>
        </w:tc>
        <w:tc>
          <w:tcPr>
            <w:tcW w:w="3033" w:type="dxa"/>
            <w:shd w:val="pct5" w:color="auto" w:fill="auto"/>
          </w:tcPr>
          <w:p w:rsidR="00E8053C" w:rsidRPr="00460294" w:rsidRDefault="002B21A6" w:rsidP="00494BF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60294">
              <w:rPr>
                <w:rFonts w:ascii="Garamond" w:hAnsi="Garamond"/>
                <w:b/>
                <w:sz w:val="26"/>
                <w:szCs w:val="26"/>
              </w:rPr>
              <w:t>Reforms Required</w:t>
            </w:r>
          </w:p>
        </w:tc>
        <w:tc>
          <w:tcPr>
            <w:tcW w:w="1530" w:type="dxa"/>
            <w:shd w:val="pct5" w:color="auto" w:fill="auto"/>
          </w:tcPr>
          <w:p w:rsidR="00E8053C" w:rsidRPr="00460294" w:rsidRDefault="002B21A6" w:rsidP="00494BF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60294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214" w:type="dxa"/>
            <w:shd w:val="pct5" w:color="auto" w:fill="auto"/>
          </w:tcPr>
          <w:p w:rsidR="00E8053C" w:rsidRPr="00460294" w:rsidRDefault="002B21A6" w:rsidP="00494BF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60294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E8053C" w:rsidRPr="00460294" w:rsidTr="00460294">
        <w:trPr>
          <w:jc w:val="center"/>
        </w:trPr>
        <w:tc>
          <w:tcPr>
            <w:tcW w:w="569" w:type="dxa"/>
          </w:tcPr>
          <w:p w:rsidR="00E8053C" w:rsidRPr="00460294" w:rsidRDefault="00E8053C" w:rsidP="00494BF6">
            <w:pPr>
              <w:rPr>
                <w:rFonts w:ascii="Garamond" w:hAnsi="Garamond"/>
                <w:sz w:val="26"/>
                <w:szCs w:val="26"/>
              </w:rPr>
            </w:pPr>
          </w:p>
          <w:p w:rsidR="00E8053C" w:rsidRPr="00460294" w:rsidRDefault="00E8053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2553" w:type="dxa"/>
          </w:tcPr>
          <w:p w:rsidR="007A3123" w:rsidRPr="00460294" w:rsidRDefault="007A3123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 xml:space="preserve">Taxpayer </w:t>
            </w:r>
            <w:r w:rsidR="00460294" w:rsidRPr="00460294">
              <w:rPr>
                <w:rFonts w:ascii="Garamond" w:hAnsi="Garamond"/>
                <w:sz w:val="26"/>
                <w:szCs w:val="26"/>
              </w:rPr>
              <w:t xml:space="preserve">registration </w:t>
            </w:r>
            <w:r w:rsidRPr="00460294">
              <w:rPr>
                <w:rFonts w:ascii="Garamond" w:hAnsi="Garamond"/>
                <w:sz w:val="26"/>
                <w:szCs w:val="26"/>
              </w:rPr>
              <w:t>exercise</w:t>
            </w:r>
          </w:p>
        </w:tc>
        <w:tc>
          <w:tcPr>
            <w:tcW w:w="3033" w:type="dxa"/>
          </w:tcPr>
          <w:p w:rsidR="007A3123" w:rsidRPr="00460294" w:rsidRDefault="00F23038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Approval by the Executive Governor</w:t>
            </w:r>
          </w:p>
        </w:tc>
        <w:tc>
          <w:tcPr>
            <w:tcW w:w="1530" w:type="dxa"/>
          </w:tcPr>
          <w:p w:rsidR="00F23038" w:rsidRPr="00460294" w:rsidRDefault="00F23038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Immediately</w:t>
            </w:r>
          </w:p>
        </w:tc>
        <w:tc>
          <w:tcPr>
            <w:tcW w:w="2214" w:type="dxa"/>
          </w:tcPr>
          <w:p w:rsidR="00614BAC" w:rsidRPr="00460294" w:rsidRDefault="00614BAC" w:rsidP="002B21A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H.E. The Governor of the State</w:t>
            </w:r>
            <w:r w:rsidR="002B21A6" w:rsidRPr="00460294">
              <w:rPr>
                <w:rFonts w:ascii="Garamond" w:hAnsi="Garamond"/>
                <w:sz w:val="26"/>
                <w:szCs w:val="26"/>
              </w:rPr>
              <w:t xml:space="preserve">; </w:t>
            </w:r>
            <w:r w:rsidRPr="00460294">
              <w:rPr>
                <w:rFonts w:ascii="Garamond" w:hAnsi="Garamond"/>
                <w:sz w:val="26"/>
                <w:szCs w:val="26"/>
              </w:rPr>
              <w:t>Benue State Internal Revenue Service</w:t>
            </w:r>
          </w:p>
        </w:tc>
      </w:tr>
      <w:tr w:rsidR="00E8053C" w:rsidRPr="00460294" w:rsidTr="00460294">
        <w:trPr>
          <w:jc w:val="center"/>
        </w:trPr>
        <w:tc>
          <w:tcPr>
            <w:tcW w:w="569" w:type="dxa"/>
          </w:tcPr>
          <w:p w:rsidR="00E8053C" w:rsidRPr="00460294" w:rsidRDefault="00E8053C" w:rsidP="00494BF6">
            <w:pPr>
              <w:rPr>
                <w:rFonts w:ascii="Garamond" w:hAnsi="Garamond"/>
                <w:sz w:val="26"/>
                <w:szCs w:val="26"/>
              </w:rPr>
            </w:pPr>
          </w:p>
          <w:p w:rsidR="00E8053C" w:rsidRPr="00460294" w:rsidRDefault="00E8053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2553" w:type="dxa"/>
          </w:tcPr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Staff Salary, incentives, skills acquisition and training</w:t>
            </w:r>
          </w:p>
        </w:tc>
        <w:tc>
          <w:tcPr>
            <w:tcW w:w="3033" w:type="dxa"/>
          </w:tcPr>
          <w:p w:rsidR="00614BAC" w:rsidRPr="00460294" w:rsidRDefault="00975031" w:rsidP="00460294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10</w:t>
            </w:r>
            <w:r w:rsidR="00460294">
              <w:rPr>
                <w:rFonts w:ascii="Garamond" w:hAnsi="Garamond"/>
                <w:sz w:val="26"/>
                <w:szCs w:val="26"/>
              </w:rPr>
              <w:t>%</w:t>
            </w:r>
            <w:r w:rsidRPr="00460294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614BAC" w:rsidRPr="00460294">
              <w:rPr>
                <w:rFonts w:ascii="Garamond" w:hAnsi="Garamond"/>
                <w:sz w:val="26"/>
                <w:szCs w:val="26"/>
              </w:rPr>
              <w:t xml:space="preserve">collection cost as stated in the 2015 Revenue </w:t>
            </w:r>
            <w:r w:rsidR="00460294" w:rsidRPr="00460294">
              <w:rPr>
                <w:rFonts w:ascii="Garamond" w:hAnsi="Garamond"/>
                <w:sz w:val="26"/>
                <w:szCs w:val="26"/>
              </w:rPr>
              <w:t xml:space="preserve">Law </w:t>
            </w:r>
            <w:r w:rsidR="00614BAC" w:rsidRPr="00460294">
              <w:rPr>
                <w:rFonts w:ascii="Garamond" w:hAnsi="Garamond"/>
                <w:sz w:val="26"/>
                <w:szCs w:val="26"/>
              </w:rPr>
              <w:t>Section 16 (9)</w:t>
            </w:r>
          </w:p>
        </w:tc>
        <w:tc>
          <w:tcPr>
            <w:tcW w:w="1530" w:type="dxa"/>
          </w:tcPr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 xml:space="preserve">Immediately </w:t>
            </w:r>
          </w:p>
        </w:tc>
        <w:tc>
          <w:tcPr>
            <w:tcW w:w="2214" w:type="dxa"/>
          </w:tcPr>
          <w:p w:rsidR="00614BAC" w:rsidRPr="00460294" w:rsidRDefault="00614BAC" w:rsidP="002B21A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H.E. The Governor of the State</w:t>
            </w:r>
            <w:r w:rsidR="002B21A6" w:rsidRPr="00460294">
              <w:rPr>
                <w:rFonts w:ascii="Garamond" w:hAnsi="Garamond"/>
                <w:sz w:val="26"/>
                <w:szCs w:val="26"/>
              </w:rPr>
              <w:t xml:space="preserve">; </w:t>
            </w:r>
            <w:r w:rsidRPr="00460294">
              <w:rPr>
                <w:rFonts w:ascii="Garamond" w:hAnsi="Garamond"/>
                <w:sz w:val="26"/>
                <w:szCs w:val="26"/>
              </w:rPr>
              <w:t>Commissioner for Finance</w:t>
            </w:r>
          </w:p>
        </w:tc>
      </w:tr>
      <w:tr w:rsidR="00614BAC" w:rsidRPr="00460294" w:rsidTr="00460294">
        <w:trPr>
          <w:jc w:val="center"/>
        </w:trPr>
        <w:tc>
          <w:tcPr>
            <w:tcW w:w="569" w:type="dxa"/>
          </w:tcPr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</w:p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3.</w:t>
            </w:r>
          </w:p>
        </w:tc>
        <w:tc>
          <w:tcPr>
            <w:tcW w:w="2553" w:type="dxa"/>
          </w:tcPr>
          <w:p w:rsidR="00614BAC" w:rsidRPr="00460294" w:rsidRDefault="002B21A6" w:rsidP="00FE3E3E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Tax a</w:t>
            </w:r>
            <w:r w:rsidR="00614BAC" w:rsidRPr="00460294">
              <w:rPr>
                <w:rFonts w:ascii="Garamond" w:hAnsi="Garamond"/>
                <w:sz w:val="26"/>
                <w:szCs w:val="26"/>
              </w:rPr>
              <w:t>wareness campaigns</w:t>
            </w:r>
            <w:r w:rsidRPr="00460294">
              <w:rPr>
                <w:rFonts w:ascii="Garamond" w:hAnsi="Garamond"/>
                <w:sz w:val="26"/>
                <w:szCs w:val="26"/>
              </w:rPr>
              <w:t xml:space="preserve"> –radio, </w:t>
            </w:r>
            <w:proofErr w:type="spellStart"/>
            <w:r w:rsidRPr="00460294">
              <w:rPr>
                <w:rFonts w:ascii="Garamond" w:hAnsi="Garamond"/>
                <w:sz w:val="26"/>
                <w:szCs w:val="26"/>
              </w:rPr>
              <w:t>tv</w:t>
            </w:r>
            <w:proofErr w:type="spellEnd"/>
            <w:r w:rsidRPr="00460294">
              <w:rPr>
                <w:rFonts w:ascii="Garamond" w:hAnsi="Garamond"/>
                <w:sz w:val="26"/>
                <w:szCs w:val="26"/>
              </w:rPr>
              <w:t xml:space="preserve"> and newspaper ads</w:t>
            </w:r>
            <w:r w:rsidR="00614BAC" w:rsidRPr="00460294">
              <w:rPr>
                <w:rFonts w:ascii="Garamond" w:hAnsi="Garamond"/>
                <w:sz w:val="26"/>
                <w:szCs w:val="26"/>
              </w:rPr>
              <w:t xml:space="preserve">, </w:t>
            </w:r>
            <w:r w:rsidRPr="00460294">
              <w:rPr>
                <w:rFonts w:ascii="Garamond" w:hAnsi="Garamond"/>
                <w:sz w:val="26"/>
                <w:szCs w:val="26"/>
              </w:rPr>
              <w:t xml:space="preserve">bill boards </w:t>
            </w:r>
            <w:r w:rsidR="00614BAC" w:rsidRPr="00460294">
              <w:rPr>
                <w:rFonts w:ascii="Garamond" w:hAnsi="Garamond"/>
                <w:sz w:val="26"/>
                <w:szCs w:val="26"/>
              </w:rPr>
              <w:t xml:space="preserve">and branded BIRS vehicles that will convey </w:t>
            </w:r>
            <w:r w:rsidRPr="00460294">
              <w:rPr>
                <w:rFonts w:ascii="Garamond" w:hAnsi="Garamond"/>
                <w:sz w:val="26"/>
                <w:szCs w:val="26"/>
              </w:rPr>
              <w:t xml:space="preserve">tax </w:t>
            </w:r>
            <w:r w:rsidR="00614BAC" w:rsidRPr="00460294">
              <w:rPr>
                <w:rFonts w:ascii="Garamond" w:hAnsi="Garamond"/>
                <w:sz w:val="26"/>
                <w:szCs w:val="26"/>
              </w:rPr>
              <w:t>messages to citizens.</w:t>
            </w:r>
          </w:p>
        </w:tc>
        <w:tc>
          <w:tcPr>
            <w:tcW w:w="3033" w:type="dxa"/>
          </w:tcPr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Approval and financial backing from the Governor</w:t>
            </w:r>
          </w:p>
        </w:tc>
        <w:tc>
          <w:tcPr>
            <w:tcW w:w="1530" w:type="dxa"/>
          </w:tcPr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Immediately</w:t>
            </w:r>
          </w:p>
        </w:tc>
        <w:tc>
          <w:tcPr>
            <w:tcW w:w="2214" w:type="dxa"/>
          </w:tcPr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H.E. The Governor of the State</w:t>
            </w:r>
          </w:p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</w:p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BIRS</w:t>
            </w:r>
          </w:p>
        </w:tc>
      </w:tr>
      <w:tr w:rsidR="00614BAC" w:rsidRPr="00460294" w:rsidTr="00460294">
        <w:trPr>
          <w:jc w:val="center"/>
        </w:trPr>
        <w:tc>
          <w:tcPr>
            <w:tcW w:w="569" w:type="dxa"/>
          </w:tcPr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</w:p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4.</w:t>
            </w:r>
          </w:p>
        </w:tc>
        <w:tc>
          <w:tcPr>
            <w:tcW w:w="2553" w:type="dxa"/>
          </w:tcPr>
          <w:p w:rsidR="00614BAC" w:rsidRPr="00460294" w:rsidRDefault="00614BAC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Automated electronic payments of all taxes to block loopholes</w:t>
            </w:r>
            <w:r w:rsidR="006E25F9" w:rsidRPr="00460294">
              <w:rPr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3033" w:type="dxa"/>
          </w:tcPr>
          <w:p w:rsidR="006E25F9" w:rsidRPr="00460294" w:rsidRDefault="006E25F9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Phasing out and ban of manual receipts for all tax transactions in the State</w:t>
            </w:r>
          </w:p>
        </w:tc>
        <w:tc>
          <w:tcPr>
            <w:tcW w:w="1530" w:type="dxa"/>
          </w:tcPr>
          <w:p w:rsidR="006E25F9" w:rsidRPr="00460294" w:rsidRDefault="006E25F9" w:rsidP="00494BF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January 2016</w:t>
            </w:r>
          </w:p>
        </w:tc>
        <w:tc>
          <w:tcPr>
            <w:tcW w:w="2214" w:type="dxa"/>
          </w:tcPr>
          <w:p w:rsidR="006E25F9" w:rsidRPr="00460294" w:rsidRDefault="006E25F9" w:rsidP="002B21A6">
            <w:pPr>
              <w:rPr>
                <w:rFonts w:ascii="Garamond" w:hAnsi="Garamond"/>
                <w:sz w:val="26"/>
                <w:szCs w:val="26"/>
              </w:rPr>
            </w:pPr>
            <w:r w:rsidRPr="00460294">
              <w:rPr>
                <w:rFonts w:ascii="Garamond" w:hAnsi="Garamond"/>
                <w:sz w:val="26"/>
                <w:szCs w:val="26"/>
              </w:rPr>
              <w:t>H.E. The Governor of the State</w:t>
            </w:r>
            <w:r w:rsidR="002B21A6" w:rsidRPr="00460294">
              <w:rPr>
                <w:rFonts w:ascii="Garamond" w:hAnsi="Garamond"/>
                <w:sz w:val="26"/>
                <w:szCs w:val="26"/>
              </w:rPr>
              <w:t xml:space="preserve">; </w:t>
            </w:r>
            <w:r w:rsidRPr="00460294">
              <w:rPr>
                <w:rFonts w:ascii="Garamond" w:hAnsi="Garamond"/>
                <w:sz w:val="26"/>
                <w:szCs w:val="26"/>
              </w:rPr>
              <w:t>Executive Chairman, BIRS</w:t>
            </w:r>
          </w:p>
        </w:tc>
      </w:tr>
    </w:tbl>
    <w:p w:rsidR="00A06D79" w:rsidRPr="00460294" w:rsidRDefault="00A06D79" w:rsidP="00665F5C">
      <w:pPr>
        <w:rPr>
          <w:rFonts w:ascii="Garamond" w:hAnsi="Garamond"/>
          <w:b/>
          <w:sz w:val="26"/>
          <w:szCs w:val="26"/>
        </w:rPr>
      </w:pPr>
    </w:p>
    <w:sectPr w:rsidR="00A06D79" w:rsidRPr="00460294" w:rsidSect="00975031">
      <w:footerReference w:type="default" r:id="rId10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E9" w:rsidRDefault="00397BE9" w:rsidP="00975031">
      <w:pPr>
        <w:spacing w:after="0" w:line="240" w:lineRule="auto"/>
      </w:pPr>
      <w:r>
        <w:separator/>
      </w:r>
    </w:p>
  </w:endnote>
  <w:endnote w:type="continuationSeparator" w:id="0">
    <w:p w:rsidR="00397BE9" w:rsidRDefault="00397BE9" w:rsidP="0097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106757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60294" w:rsidRPr="00460294" w:rsidRDefault="00460294">
            <w:pPr>
              <w:pStyle w:val="Footer"/>
              <w:jc w:val="right"/>
              <w:rPr>
                <w:rFonts w:ascii="Garamond" w:hAnsi="Garamond"/>
              </w:rPr>
            </w:pPr>
            <w:r w:rsidRPr="00460294">
              <w:rPr>
                <w:rFonts w:ascii="Garamond" w:hAnsi="Garamond"/>
              </w:rPr>
              <w:t xml:space="preserve">Page </w:t>
            </w:r>
            <w:r w:rsidRPr="00460294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460294">
              <w:rPr>
                <w:rFonts w:ascii="Garamond" w:hAnsi="Garamond"/>
              </w:rPr>
              <w:instrText xml:space="preserve"> PAGE </w:instrText>
            </w:r>
            <w:r w:rsidRPr="00460294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723B3">
              <w:rPr>
                <w:rFonts w:ascii="Garamond" w:hAnsi="Garamond"/>
                <w:noProof/>
              </w:rPr>
              <w:t>1</w:t>
            </w:r>
            <w:r w:rsidRPr="00460294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460294">
              <w:rPr>
                <w:rFonts w:ascii="Garamond" w:hAnsi="Garamond"/>
              </w:rPr>
              <w:t xml:space="preserve"> of </w:t>
            </w:r>
            <w:r w:rsidRPr="00460294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460294">
              <w:rPr>
                <w:rFonts w:ascii="Garamond" w:hAnsi="Garamond"/>
              </w:rPr>
              <w:instrText xml:space="preserve"> NUMPAGES  </w:instrText>
            </w:r>
            <w:r w:rsidRPr="00460294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723B3">
              <w:rPr>
                <w:rFonts w:ascii="Garamond" w:hAnsi="Garamond"/>
                <w:noProof/>
              </w:rPr>
              <w:t>2</w:t>
            </w:r>
            <w:r w:rsidRPr="0046029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  <w:p w:rsidR="00975031" w:rsidRDefault="00975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E9" w:rsidRDefault="00397BE9" w:rsidP="00975031">
      <w:pPr>
        <w:spacing w:after="0" w:line="240" w:lineRule="auto"/>
      </w:pPr>
      <w:r>
        <w:separator/>
      </w:r>
    </w:p>
  </w:footnote>
  <w:footnote w:type="continuationSeparator" w:id="0">
    <w:p w:rsidR="00397BE9" w:rsidRDefault="00397BE9" w:rsidP="0097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985"/>
    <w:multiLevelType w:val="hybridMultilevel"/>
    <w:tmpl w:val="8CF88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96A"/>
    <w:multiLevelType w:val="hybridMultilevel"/>
    <w:tmpl w:val="EA0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2089"/>
    <w:multiLevelType w:val="hybridMultilevel"/>
    <w:tmpl w:val="D196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4636"/>
    <w:multiLevelType w:val="hybridMultilevel"/>
    <w:tmpl w:val="B0CC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E"/>
    <w:rsid w:val="00033A31"/>
    <w:rsid w:val="000F7507"/>
    <w:rsid w:val="00182063"/>
    <w:rsid w:val="001B2ABF"/>
    <w:rsid w:val="0025181A"/>
    <w:rsid w:val="002B21A6"/>
    <w:rsid w:val="00397BE9"/>
    <w:rsid w:val="003D3C91"/>
    <w:rsid w:val="004568CE"/>
    <w:rsid w:val="00460294"/>
    <w:rsid w:val="004654F0"/>
    <w:rsid w:val="00494BF6"/>
    <w:rsid w:val="005A025B"/>
    <w:rsid w:val="00602416"/>
    <w:rsid w:val="00614BAC"/>
    <w:rsid w:val="00646CB8"/>
    <w:rsid w:val="00665F5C"/>
    <w:rsid w:val="006832C6"/>
    <w:rsid w:val="006E25F9"/>
    <w:rsid w:val="006E5027"/>
    <w:rsid w:val="0072448C"/>
    <w:rsid w:val="007A3123"/>
    <w:rsid w:val="007B4098"/>
    <w:rsid w:val="008501C7"/>
    <w:rsid w:val="0085625F"/>
    <w:rsid w:val="008E2CEA"/>
    <w:rsid w:val="008F741C"/>
    <w:rsid w:val="00924632"/>
    <w:rsid w:val="00956791"/>
    <w:rsid w:val="009723B3"/>
    <w:rsid w:val="00975031"/>
    <w:rsid w:val="009F2B3E"/>
    <w:rsid w:val="00A06D79"/>
    <w:rsid w:val="00A1546C"/>
    <w:rsid w:val="00A2327B"/>
    <w:rsid w:val="00B84525"/>
    <w:rsid w:val="00C61DBD"/>
    <w:rsid w:val="00C90B7E"/>
    <w:rsid w:val="00CF49AD"/>
    <w:rsid w:val="00D967C8"/>
    <w:rsid w:val="00E1479F"/>
    <w:rsid w:val="00E8053C"/>
    <w:rsid w:val="00EC387C"/>
    <w:rsid w:val="00F100D1"/>
    <w:rsid w:val="00F23038"/>
    <w:rsid w:val="00F5289F"/>
    <w:rsid w:val="00FE3E3E"/>
    <w:rsid w:val="00FF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2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7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031"/>
  </w:style>
  <w:style w:type="paragraph" w:styleId="Footer">
    <w:name w:val="footer"/>
    <w:basedOn w:val="Normal"/>
    <w:link w:val="FooterChar"/>
    <w:uiPriority w:val="99"/>
    <w:unhideWhenUsed/>
    <w:rsid w:val="0097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2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7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031"/>
  </w:style>
  <w:style w:type="paragraph" w:styleId="Footer">
    <w:name w:val="footer"/>
    <w:basedOn w:val="Normal"/>
    <w:link w:val="FooterChar"/>
    <w:uiPriority w:val="99"/>
    <w:unhideWhenUsed/>
    <w:rsid w:val="0097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47CE-C50A-4924-92CF-E9D3A1F7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OSIWA 2</dc:creator>
  <cp:lastModifiedBy>Chioma</cp:lastModifiedBy>
  <cp:revision>2</cp:revision>
  <dcterms:created xsi:type="dcterms:W3CDTF">2016-02-17T08:10:00Z</dcterms:created>
  <dcterms:modified xsi:type="dcterms:W3CDTF">2016-02-17T08:10:00Z</dcterms:modified>
</cp:coreProperties>
</file>